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A1" w:rsidRPr="00D12EC2" w:rsidRDefault="00320D92" w:rsidP="003E2DA1">
      <w:pPr>
        <w:spacing w:after="0" w:line="360" w:lineRule="auto"/>
        <w:jc w:val="both"/>
        <w:rPr>
          <w:rFonts w:ascii="Palatino Linotype" w:hAnsi="Palatino Linotype"/>
          <w:b/>
          <w:sz w:val="23"/>
          <w:szCs w:val="23"/>
        </w:rPr>
      </w:pPr>
      <w:r>
        <w:rPr>
          <w:rFonts w:ascii="Palatino Linotype" w:hAnsi="Palatino Linotype"/>
          <w:b/>
          <w:sz w:val="23"/>
          <w:szCs w:val="23"/>
        </w:rPr>
        <w:t>VOTO</w:t>
      </w:r>
      <w:r w:rsidR="003E2DA1" w:rsidRPr="00D12EC2">
        <w:rPr>
          <w:rFonts w:ascii="Palatino Linotype" w:hAnsi="Palatino Linotype"/>
          <w:b/>
          <w:sz w:val="23"/>
          <w:szCs w:val="23"/>
        </w:rPr>
        <w:t xml:space="preserve"> PARTICULAR QUE FORMULA </w:t>
      </w:r>
      <w:r w:rsidR="00DB46A9">
        <w:rPr>
          <w:rFonts w:ascii="Palatino Linotype" w:hAnsi="Palatino Linotype"/>
          <w:b/>
          <w:sz w:val="23"/>
          <w:szCs w:val="23"/>
        </w:rPr>
        <w:t>EL</w:t>
      </w:r>
      <w:r w:rsidR="003E2DA1" w:rsidRPr="00D12EC2">
        <w:rPr>
          <w:rFonts w:ascii="Palatino Linotype" w:hAnsi="Palatino Linotype"/>
          <w:b/>
          <w:sz w:val="23"/>
          <w:szCs w:val="23"/>
        </w:rPr>
        <w:t xml:space="preserve"> COMISIONADO JAVIER MARTÍNEZ CRUZ, EN RELACIÓN CON LA RESOLUCIÓN DICTADA POR EL PLENO DEL INSTITUTO DE TRANSPARENCIA, ACCESO A LA INFORMACIÓN PÚBLICA Y PROTECCIÓN DE DATOS PERSONALES DEL ESTADO DE MÉXICO Y MUNICIPIOS, EN LA </w:t>
      </w:r>
      <w:r w:rsidR="00DB46A9">
        <w:rPr>
          <w:rFonts w:ascii="Palatino Linotype" w:hAnsi="Palatino Linotype"/>
          <w:b/>
          <w:sz w:val="23"/>
          <w:szCs w:val="23"/>
        </w:rPr>
        <w:t>VIGÉSIMA SEGUNDA</w:t>
      </w:r>
      <w:r w:rsidR="00DB46A9" w:rsidRPr="00D12EC2">
        <w:rPr>
          <w:rFonts w:ascii="Palatino Linotype" w:hAnsi="Palatino Linotype"/>
          <w:b/>
          <w:sz w:val="23"/>
          <w:szCs w:val="23"/>
        </w:rPr>
        <w:t xml:space="preserve"> </w:t>
      </w:r>
      <w:r w:rsidR="003E2DA1" w:rsidRPr="00D12EC2">
        <w:rPr>
          <w:rFonts w:ascii="Palatino Linotype" w:hAnsi="Palatino Linotype"/>
          <w:b/>
          <w:sz w:val="23"/>
          <w:szCs w:val="23"/>
        </w:rPr>
        <w:t xml:space="preserve">SESIÓN ORDINARIA DEL </w:t>
      </w:r>
      <w:r w:rsidR="00DB46A9">
        <w:rPr>
          <w:rFonts w:ascii="Palatino Linotype" w:hAnsi="Palatino Linotype"/>
          <w:b/>
          <w:sz w:val="23"/>
          <w:szCs w:val="23"/>
        </w:rPr>
        <w:t>DOCE DE JUNIO</w:t>
      </w:r>
      <w:r w:rsidR="003E2DA1" w:rsidRPr="00D12EC2">
        <w:rPr>
          <w:rFonts w:ascii="Palatino Linotype" w:hAnsi="Palatino Linotype"/>
          <w:b/>
          <w:sz w:val="23"/>
          <w:szCs w:val="23"/>
        </w:rPr>
        <w:t xml:space="preserve"> DE DOS MIL DIECI</w:t>
      </w:r>
      <w:r w:rsidR="00F85CEF">
        <w:rPr>
          <w:rFonts w:ascii="Palatino Linotype" w:hAnsi="Palatino Linotype"/>
          <w:b/>
          <w:sz w:val="23"/>
          <w:szCs w:val="23"/>
        </w:rPr>
        <w:t>NUEVE,</w:t>
      </w:r>
      <w:r w:rsidR="003E2DA1" w:rsidRPr="00D12EC2">
        <w:rPr>
          <w:rFonts w:ascii="Palatino Linotype" w:hAnsi="Palatino Linotype"/>
          <w:b/>
          <w:sz w:val="23"/>
          <w:szCs w:val="23"/>
        </w:rPr>
        <w:t xml:space="preserve"> EN EL RECURSO DE REVISIÓN 0</w:t>
      </w:r>
      <w:r w:rsidR="00DB46A9">
        <w:rPr>
          <w:rFonts w:ascii="Palatino Linotype" w:hAnsi="Palatino Linotype"/>
          <w:b/>
          <w:sz w:val="23"/>
          <w:szCs w:val="23"/>
        </w:rPr>
        <w:t>2517</w:t>
      </w:r>
      <w:r w:rsidR="003E2DA1" w:rsidRPr="00D12EC2">
        <w:rPr>
          <w:rFonts w:ascii="Palatino Linotype" w:hAnsi="Palatino Linotype"/>
          <w:b/>
          <w:sz w:val="23"/>
          <w:szCs w:val="23"/>
        </w:rPr>
        <w:t>/INFOEM/IP/RR/201</w:t>
      </w:r>
      <w:r>
        <w:rPr>
          <w:rFonts w:ascii="Palatino Linotype" w:hAnsi="Palatino Linotype"/>
          <w:b/>
          <w:sz w:val="23"/>
          <w:szCs w:val="23"/>
        </w:rPr>
        <w:t>9</w:t>
      </w:r>
      <w:r w:rsidR="003E2DA1" w:rsidRPr="00D12EC2">
        <w:rPr>
          <w:rFonts w:ascii="Palatino Linotype" w:hAnsi="Palatino Linotype"/>
          <w:b/>
          <w:sz w:val="23"/>
          <w:szCs w:val="23"/>
        </w:rPr>
        <w:t>.</w:t>
      </w:r>
    </w:p>
    <w:p w:rsidR="003E2DA1" w:rsidRPr="00D12EC2" w:rsidRDefault="003E2DA1" w:rsidP="003E2DA1">
      <w:pPr>
        <w:spacing w:after="0" w:line="240" w:lineRule="auto"/>
        <w:jc w:val="both"/>
        <w:rPr>
          <w:rFonts w:ascii="Palatino Linotype" w:hAnsi="Palatino Linotype"/>
          <w:b/>
          <w:sz w:val="23"/>
          <w:szCs w:val="23"/>
        </w:rPr>
      </w:pPr>
    </w:p>
    <w:p w:rsidR="003E2DA1" w:rsidRPr="00D12EC2" w:rsidRDefault="003E2DA1" w:rsidP="00A229D2">
      <w:pPr>
        <w:spacing w:before="240" w:after="240" w:line="360" w:lineRule="auto"/>
        <w:jc w:val="both"/>
        <w:rPr>
          <w:rFonts w:ascii="Palatino Linotype" w:hAnsi="Palatino Linotype"/>
          <w:sz w:val="23"/>
          <w:szCs w:val="23"/>
        </w:rPr>
      </w:pPr>
      <w:r w:rsidRPr="00D12EC2">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w:t>
      </w:r>
      <w:r w:rsidR="00DB46A9">
        <w:rPr>
          <w:rFonts w:ascii="Palatino Linotype" w:hAnsi="Palatino Linotype"/>
          <w:sz w:val="23"/>
          <w:szCs w:val="23"/>
        </w:rPr>
        <w:t>e</w:t>
      </w:r>
      <w:r w:rsidRPr="00D12EC2">
        <w:rPr>
          <w:rFonts w:ascii="Palatino Linotype" w:hAnsi="Palatino Linotype"/>
          <w:sz w:val="23"/>
          <w:szCs w:val="23"/>
        </w:rPr>
        <w:t>l Comisionado Javier Martínez Cruz</w:t>
      </w:r>
      <w:r w:rsidR="00320D92">
        <w:rPr>
          <w:rFonts w:ascii="Palatino Linotype" w:hAnsi="Palatino Linotype"/>
          <w:sz w:val="23"/>
          <w:szCs w:val="23"/>
        </w:rPr>
        <w:t xml:space="preserve">, </w:t>
      </w:r>
      <w:r w:rsidRPr="00D12EC2">
        <w:rPr>
          <w:rFonts w:ascii="Palatino Linotype" w:hAnsi="Palatino Linotype"/>
          <w:sz w:val="23"/>
          <w:szCs w:val="23"/>
        </w:rPr>
        <w:t xml:space="preserve">emite </w:t>
      </w:r>
      <w:r w:rsidR="00320D92" w:rsidRPr="00320D92">
        <w:rPr>
          <w:rFonts w:ascii="Palatino Linotype" w:hAnsi="Palatino Linotype"/>
          <w:b/>
          <w:sz w:val="23"/>
          <w:szCs w:val="23"/>
        </w:rPr>
        <w:t>VOTO</w:t>
      </w:r>
      <w:r w:rsidRPr="00D12EC2">
        <w:rPr>
          <w:rFonts w:ascii="Palatino Linotype" w:hAnsi="Palatino Linotype"/>
          <w:b/>
          <w:sz w:val="23"/>
          <w:szCs w:val="23"/>
        </w:rPr>
        <w:t xml:space="preserve"> PARTICULAR </w:t>
      </w:r>
      <w:r w:rsidRPr="00D12EC2">
        <w:rPr>
          <w:rFonts w:ascii="Palatino Linotype" w:hAnsi="Palatino Linotype"/>
          <w:sz w:val="23"/>
          <w:szCs w:val="23"/>
        </w:rPr>
        <w:t>respecto a la resolución dictada en el recurso de revisión número 0</w:t>
      </w:r>
      <w:r w:rsidR="00DB46A9">
        <w:rPr>
          <w:rFonts w:ascii="Palatino Linotype" w:hAnsi="Palatino Linotype"/>
          <w:sz w:val="23"/>
          <w:szCs w:val="23"/>
        </w:rPr>
        <w:t>2517</w:t>
      </w:r>
      <w:r w:rsidRPr="00D12EC2">
        <w:rPr>
          <w:rFonts w:ascii="Palatino Linotype" w:hAnsi="Palatino Linotype"/>
          <w:sz w:val="23"/>
          <w:szCs w:val="23"/>
        </w:rPr>
        <w:t>/INFOEM/IP/RR/201</w:t>
      </w:r>
      <w:r w:rsidR="00320D92">
        <w:rPr>
          <w:rFonts w:ascii="Palatino Linotype" w:hAnsi="Palatino Linotype"/>
          <w:sz w:val="23"/>
          <w:szCs w:val="23"/>
        </w:rPr>
        <w:t>9</w:t>
      </w:r>
      <w:r w:rsidRPr="00D12EC2">
        <w:rPr>
          <w:rFonts w:ascii="Palatino Linotype" w:hAnsi="Palatino Linotype"/>
          <w:sz w:val="23"/>
          <w:szCs w:val="23"/>
        </w:rPr>
        <w:t>, pronunciada por el Pleno de este Instituto ante el proyecto presentado por l</w:t>
      </w:r>
      <w:r w:rsidR="00320D92">
        <w:rPr>
          <w:rFonts w:ascii="Palatino Linotype" w:hAnsi="Palatino Linotype"/>
          <w:sz w:val="23"/>
          <w:szCs w:val="23"/>
        </w:rPr>
        <w:t>a</w:t>
      </w:r>
      <w:r w:rsidRPr="00D12EC2">
        <w:rPr>
          <w:rFonts w:ascii="Palatino Linotype" w:hAnsi="Palatino Linotype"/>
          <w:sz w:val="23"/>
          <w:szCs w:val="23"/>
        </w:rPr>
        <w:t xml:space="preserve"> Comisionad</w:t>
      </w:r>
      <w:r w:rsidR="007859EE">
        <w:rPr>
          <w:rFonts w:ascii="Palatino Linotype" w:hAnsi="Palatino Linotype"/>
          <w:sz w:val="23"/>
          <w:szCs w:val="23"/>
        </w:rPr>
        <w:t>a</w:t>
      </w:r>
      <w:r w:rsidRPr="00D12EC2">
        <w:rPr>
          <w:rFonts w:ascii="Palatino Linotype" w:hAnsi="Palatino Linotype"/>
          <w:sz w:val="23"/>
          <w:szCs w:val="23"/>
        </w:rPr>
        <w:t xml:space="preserve"> </w:t>
      </w:r>
      <w:r w:rsidR="00320D92">
        <w:rPr>
          <w:rFonts w:ascii="Palatino Linotype" w:hAnsi="Palatino Linotype"/>
          <w:sz w:val="23"/>
          <w:szCs w:val="23"/>
        </w:rPr>
        <w:t>Eva Abaid Yapur</w:t>
      </w:r>
      <w:r w:rsidRPr="00D12EC2">
        <w:rPr>
          <w:rFonts w:ascii="Palatino Linotype" w:hAnsi="Palatino Linotype"/>
          <w:sz w:val="23"/>
          <w:szCs w:val="23"/>
        </w:rPr>
        <w:t xml:space="preserve">. </w:t>
      </w:r>
    </w:p>
    <w:p w:rsidR="003E2DA1" w:rsidRDefault="005A1CCF" w:rsidP="00A229D2">
      <w:pPr>
        <w:spacing w:before="240" w:after="240" w:line="360" w:lineRule="auto"/>
        <w:jc w:val="both"/>
        <w:rPr>
          <w:rFonts w:ascii="Palatino Linotype" w:hAnsi="Palatino Linotype"/>
          <w:color w:val="000000" w:themeColor="text1"/>
          <w:sz w:val="24"/>
          <w:szCs w:val="24"/>
        </w:rPr>
      </w:pPr>
      <w:r>
        <w:rPr>
          <w:rFonts w:ascii="Palatino Linotype" w:hAnsi="Palatino Linotype"/>
          <w:sz w:val="23"/>
          <w:szCs w:val="23"/>
        </w:rPr>
        <w:t xml:space="preserve">Derivado de que si bien, </w:t>
      </w:r>
      <w:r w:rsidR="00DB46A9">
        <w:rPr>
          <w:rFonts w:ascii="Palatino Linotype" w:hAnsi="Palatino Linotype"/>
          <w:sz w:val="23"/>
          <w:szCs w:val="23"/>
        </w:rPr>
        <w:t>e</w:t>
      </w:r>
      <w:r w:rsidR="003E2DA1" w:rsidRPr="00D12EC2">
        <w:rPr>
          <w:rFonts w:ascii="Palatino Linotype" w:hAnsi="Palatino Linotype"/>
          <w:sz w:val="23"/>
          <w:szCs w:val="23"/>
        </w:rPr>
        <w:t>l</w:t>
      </w:r>
      <w:r w:rsidR="00DB46A9">
        <w:rPr>
          <w:rFonts w:ascii="Palatino Linotype" w:hAnsi="Palatino Linotype"/>
          <w:sz w:val="23"/>
          <w:szCs w:val="23"/>
        </w:rPr>
        <w:t xml:space="preserve"> suscrito</w:t>
      </w:r>
      <w:r w:rsidR="003E2DA1" w:rsidRPr="00D12EC2">
        <w:rPr>
          <w:rFonts w:ascii="Palatino Linotype" w:hAnsi="Palatino Linotype"/>
          <w:sz w:val="23"/>
          <w:szCs w:val="23"/>
        </w:rPr>
        <w:t xml:space="preserve"> en términos general coincid</w:t>
      </w:r>
      <w:r w:rsidR="00DB46A9">
        <w:rPr>
          <w:rFonts w:ascii="Palatino Linotype" w:hAnsi="Palatino Linotype"/>
          <w:sz w:val="23"/>
          <w:szCs w:val="23"/>
        </w:rPr>
        <w:t>o</w:t>
      </w:r>
      <w:r w:rsidR="00A8492C">
        <w:rPr>
          <w:rFonts w:ascii="Palatino Linotype" w:hAnsi="Palatino Linotype"/>
          <w:sz w:val="23"/>
          <w:szCs w:val="23"/>
        </w:rPr>
        <w:t xml:space="preserve"> en el sentido de la resolución, también lo es que consider</w:t>
      </w:r>
      <w:r w:rsidR="00DB46A9">
        <w:rPr>
          <w:rFonts w:ascii="Palatino Linotype" w:hAnsi="Palatino Linotype"/>
          <w:sz w:val="23"/>
          <w:szCs w:val="23"/>
        </w:rPr>
        <w:t>o</w:t>
      </w:r>
      <w:r w:rsidR="00A8492C">
        <w:rPr>
          <w:rFonts w:ascii="Palatino Linotype" w:hAnsi="Palatino Linotype"/>
          <w:sz w:val="23"/>
          <w:szCs w:val="23"/>
        </w:rPr>
        <w:t xml:space="preserve"> necesario hacer algunas precisiones</w:t>
      </w:r>
      <w:r w:rsidR="00941C6F">
        <w:rPr>
          <w:rFonts w:ascii="Palatino Linotype" w:hAnsi="Palatino Linotype"/>
          <w:sz w:val="23"/>
          <w:szCs w:val="23"/>
        </w:rPr>
        <w:t xml:space="preserve">, en ese sentido vale la pena recordar </w:t>
      </w:r>
      <w:r w:rsidR="00320D92">
        <w:rPr>
          <w:rFonts w:ascii="Palatino Linotype" w:hAnsi="Palatino Linotype"/>
          <w:sz w:val="23"/>
          <w:szCs w:val="23"/>
        </w:rPr>
        <w:t xml:space="preserve">en términos concretos, para el voto que nos ocupa, </w:t>
      </w:r>
      <w:r w:rsidR="00941C6F">
        <w:rPr>
          <w:rFonts w:ascii="Palatino Linotype" w:hAnsi="Palatino Linotype"/>
          <w:sz w:val="23"/>
          <w:szCs w:val="23"/>
        </w:rPr>
        <w:t xml:space="preserve">que el particular solicitó </w:t>
      </w:r>
      <w:r w:rsidR="00941C6F" w:rsidRPr="00941C6F">
        <w:rPr>
          <w:rFonts w:ascii="Palatino Linotype" w:hAnsi="Palatino Linotype"/>
          <w:color w:val="000000" w:themeColor="text1"/>
          <w:sz w:val="24"/>
          <w:szCs w:val="24"/>
        </w:rPr>
        <w:t xml:space="preserve">recibos de nómina </w:t>
      </w:r>
      <w:r w:rsidR="00DB46A9">
        <w:rPr>
          <w:rFonts w:ascii="Palatino Linotype" w:hAnsi="Palatino Linotype"/>
          <w:color w:val="000000" w:themeColor="text1"/>
          <w:sz w:val="24"/>
          <w:szCs w:val="24"/>
        </w:rPr>
        <w:t xml:space="preserve">y </w:t>
      </w:r>
      <w:r w:rsidR="00DB46A9" w:rsidRPr="00DB46A9">
        <w:rPr>
          <w:rFonts w:ascii="Palatino Linotype" w:hAnsi="Palatino Linotype" w:cs="Arial"/>
        </w:rPr>
        <w:t>las determinaciones preliminares de la plataforma prisma</w:t>
      </w:r>
      <w:r w:rsidR="00DB46A9" w:rsidRPr="00A91817">
        <w:rPr>
          <w:rFonts w:ascii="Palatino Linotype" w:hAnsi="Palatino Linotype" w:cs="Arial"/>
          <w:i/>
        </w:rPr>
        <w:t xml:space="preserve"> </w:t>
      </w:r>
      <w:r w:rsidR="00DB46A9" w:rsidRPr="00DB46A9">
        <w:rPr>
          <w:rFonts w:ascii="Palatino Linotype" w:hAnsi="Palatino Linotype" w:cs="Arial"/>
        </w:rPr>
        <w:t>ISSEMYM</w:t>
      </w:r>
      <w:r w:rsidR="00DB46A9" w:rsidRPr="00A91817">
        <w:rPr>
          <w:rFonts w:ascii="Palatino Linotype" w:hAnsi="Palatino Linotype" w:cs="Arial"/>
          <w:i/>
        </w:rPr>
        <w:t xml:space="preserve"> </w:t>
      </w:r>
      <w:r w:rsidR="00941C6F" w:rsidRPr="00941C6F">
        <w:rPr>
          <w:rFonts w:ascii="Palatino Linotype" w:hAnsi="Palatino Linotype"/>
          <w:color w:val="000000" w:themeColor="text1"/>
          <w:sz w:val="24"/>
          <w:szCs w:val="24"/>
        </w:rPr>
        <w:t>de</w:t>
      </w:r>
      <w:r w:rsidR="00320D92">
        <w:rPr>
          <w:rFonts w:ascii="Palatino Linotype" w:hAnsi="Palatino Linotype"/>
          <w:color w:val="000000" w:themeColor="text1"/>
          <w:sz w:val="24"/>
          <w:szCs w:val="24"/>
        </w:rPr>
        <w:t xml:space="preserve"> la primera y segunda quincena de enero de dos mil diecinueve</w:t>
      </w:r>
      <w:r w:rsidR="00941C6F">
        <w:rPr>
          <w:rFonts w:ascii="Palatino Linotype" w:hAnsi="Palatino Linotype"/>
          <w:color w:val="000000" w:themeColor="text1"/>
          <w:sz w:val="24"/>
          <w:szCs w:val="24"/>
        </w:rPr>
        <w:t>.</w:t>
      </w:r>
    </w:p>
    <w:p w:rsidR="00941C6F" w:rsidRPr="009E2BFE" w:rsidRDefault="00941C6F" w:rsidP="00A229D2">
      <w:pPr>
        <w:spacing w:before="240" w:after="240" w:line="360" w:lineRule="auto"/>
        <w:jc w:val="both"/>
        <w:rPr>
          <w:rFonts w:ascii="Palatino Linotype" w:hAnsi="Palatino Linotype"/>
          <w:color w:val="000000" w:themeColor="text1"/>
          <w:sz w:val="23"/>
          <w:szCs w:val="23"/>
        </w:rPr>
      </w:pPr>
      <w:r w:rsidRPr="009E2BFE">
        <w:rPr>
          <w:rFonts w:ascii="Palatino Linotype" w:hAnsi="Palatino Linotype"/>
          <w:color w:val="000000" w:themeColor="text1"/>
          <w:sz w:val="23"/>
          <w:szCs w:val="23"/>
        </w:rPr>
        <w:t>Así, cabe re</w:t>
      </w:r>
      <w:r w:rsidR="00320D92" w:rsidRPr="009E2BFE">
        <w:rPr>
          <w:rFonts w:ascii="Palatino Linotype" w:hAnsi="Palatino Linotype"/>
          <w:color w:val="000000" w:themeColor="text1"/>
          <w:sz w:val="23"/>
          <w:szCs w:val="23"/>
        </w:rPr>
        <w:t>c</w:t>
      </w:r>
      <w:r w:rsidRPr="009E2BFE">
        <w:rPr>
          <w:rFonts w:ascii="Palatino Linotype" w:hAnsi="Palatino Linotype"/>
          <w:color w:val="000000" w:themeColor="text1"/>
          <w:sz w:val="23"/>
          <w:szCs w:val="23"/>
        </w:rPr>
        <w:t>o</w:t>
      </w:r>
      <w:r w:rsidR="00320D92" w:rsidRPr="009E2BFE">
        <w:rPr>
          <w:rFonts w:ascii="Palatino Linotype" w:hAnsi="Palatino Linotype"/>
          <w:color w:val="000000" w:themeColor="text1"/>
          <w:sz w:val="23"/>
          <w:szCs w:val="23"/>
        </w:rPr>
        <w:t>rdar</w:t>
      </w:r>
      <w:r w:rsidRPr="009E2BFE">
        <w:rPr>
          <w:rFonts w:ascii="Palatino Linotype" w:hAnsi="Palatino Linotype"/>
          <w:color w:val="000000" w:themeColor="text1"/>
          <w:sz w:val="23"/>
          <w:szCs w:val="23"/>
        </w:rPr>
        <w:t xml:space="preserve"> que </w:t>
      </w:r>
      <w:r w:rsidR="00320D92" w:rsidRPr="009E2BFE">
        <w:rPr>
          <w:rFonts w:ascii="Palatino Linotype" w:hAnsi="Palatino Linotype"/>
          <w:color w:val="000000" w:themeColor="text1"/>
          <w:sz w:val="23"/>
          <w:szCs w:val="23"/>
        </w:rPr>
        <w:t xml:space="preserve">el Sujeto Obligado </w:t>
      </w:r>
      <w:r w:rsidR="00DB46A9">
        <w:rPr>
          <w:rFonts w:ascii="Palatino Linotype" w:hAnsi="Palatino Linotype"/>
          <w:color w:val="000000" w:themeColor="text1"/>
          <w:sz w:val="23"/>
          <w:szCs w:val="23"/>
        </w:rPr>
        <w:t>brindó respuesta</w:t>
      </w:r>
      <w:r w:rsidR="00320D92" w:rsidRPr="009E2BFE">
        <w:rPr>
          <w:rFonts w:ascii="Palatino Linotype" w:hAnsi="Palatino Linotype"/>
          <w:color w:val="000000" w:themeColor="text1"/>
          <w:sz w:val="23"/>
          <w:szCs w:val="23"/>
        </w:rPr>
        <w:t xml:space="preserve"> a la solicitud de acceso a la información</w:t>
      </w:r>
      <w:r w:rsidR="00DB46A9">
        <w:rPr>
          <w:rFonts w:ascii="Palatino Linotype" w:hAnsi="Palatino Linotype"/>
          <w:color w:val="000000" w:themeColor="text1"/>
          <w:sz w:val="23"/>
          <w:szCs w:val="23"/>
        </w:rPr>
        <w:t xml:space="preserve"> el </w:t>
      </w:r>
      <w:r w:rsidR="00DB46A9" w:rsidRPr="00A91817">
        <w:rPr>
          <w:rFonts w:ascii="Palatino Linotype" w:hAnsi="Palatino Linotype" w:cs="Arial"/>
        </w:rPr>
        <w:t>veintiuno de marzo de dos mil diecinueve</w:t>
      </w:r>
      <w:r w:rsidR="00320D92" w:rsidRPr="009E2BFE">
        <w:rPr>
          <w:rFonts w:ascii="Palatino Linotype" w:hAnsi="Palatino Linotype"/>
          <w:color w:val="000000" w:themeColor="text1"/>
          <w:sz w:val="23"/>
          <w:szCs w:val="23"/>
        </w:rPr>
        <w:t>,</w:t>
      </w:r>
      <w:r w:rsidR="00DB46A9">
        <w:rPr>
          <w:rFonts w:ascii="Palatino Linotype" w:hAnsi="Palatino Linotype"/>
          <w:color w:val="000000" w:themeColor="text1"/>
          <w:sz w:val="23"/>
          <w:szCs w:val="23"/>
        </w:rPr>
        <w:t xml:space="preserve"> adjuntando los archivos </w:t>
      </w:r>
      <w:r w:rsidR="00DB46A9" w:rsidRPr="00A91817">
        <w:rPr>
          <w:rFonts w:ascii="Palatino Linotype" w:hAnsi="Palatino Linotype" w:cs="Arial"/>
          <w:b/>
        </w:rPr>
        <w:t xml:space="preserve">2DA. </w:t>
      </w:r>
      <w:r w:rsidR="00DB46A9" w:rsidRPr="00A91817">
        <w:rPr>
          <w:rFonts w:ascii="Palatino Linotype" w:hAnsi="Palatino Linotype" w:cs="Arial"/>
          <w:b/>
        </w:rPr>
        <w:lastRenderedPageBreak/>
        <w:t>ENERO 19.zip</w:t>
      </w:r>
      <w:r w:rsidR="00DB46A9">
        <w:rPr>
          <w:rFonts w:ascii="Palatino Linotype" w:hAnsi="Palatino Linotype" w:cs="Arial"/>
          <w:b/>
        </w:rPr>
        <w:t xml:space="preserve">, </w:t>
      </w:r>
      <w:r w:rsidR="00DB46A9" w:rsidRPr="00A91817">
        <w:rPr>
          <w:rFonts w:ascii="Palatino Linotype" w:hAnsi="Palatino Linotype" w:cs="Arial"/>
          <w:b/>
        </w:rPr>
        <w:t>DETERMINACION 1RA. DE ENERO.xlsx</w:t>
      </w:r>
      <w:r w:rsidR="00DB46A9">
        <w:rPr>
          <w:rFonts w:ascii="Palatino Linotype" w:hAnsi="Palatino Linotype" w:cs="Arial"/>
          <w:b/>
        </w:rPr>
        <w:t xml:space="preserve">, </w:t>
      </w:r>
      <w:r w:rsidR="00DB46A9" w:rsidRPr="00A91817">
        <w:rPr>
          <w:rFonts w:ascii="Palatino Linotype" w:hAnsi="Palatino Linotype" w:cs="Arial"/>
          <w:b/>
        </w:rPr>
        <w:t>DETERMINACION 2DA. ENERO .xlsx</w:t>
      </w:r>
      <w:r w:rsidR="00DB46A9">
        <w:rPr>
          <w:rFonts w:ascii="Palatino Linotype" w:hAnsi="Palatino Linotype" w:cs="Arial"/>
          <w:b/>
        </w:rPr>
        <w:t xml:space="preserve">, </w:t>
      </w:r>
      <w:r w:rsidR="00DB46A9" w:rsidRPr="00A91817">
        <w:rPr>
          <w:rFonts w:ascii="Palatino Linotype" w:hAnsi="Palatino Linotype" w:cs="Arial"/>
          <w:b/>
        </w:rPr>
        <w:t>1RA. DE ENERO.zip</w:t>
      </w:r>
      <w:r w:rsidR="00DB46A9">
        <w:rPr>
          <w:rFonts w:ascii="Palatino Linotype" w:hAnsi="Palatino Linotype" w:cs="Arial"/>
          <w:b/>
        </w:rPr>
        <w:t xml:space="preserve"> </w:t>
      </w:r>
      <w:r w:rsidR="00DB46A9">
        <w:rPr>
          <w:rFonts w:ascii="Palatino Linotype" w:hAnsi="Palatino Linotype" w:cs="Arial"/>
        </w:rPr>
        <w:t xml:space="preserve">y </w:t>
      </w:r>
      <w:r w:rsidR="00DB46A9" w:rsidRPr="00A91817">
        <w:rPr>
          <w:rFonts w:ascii="Palatino Linotype" w:hAnsi="Palatino Linotype" w:cs="Arial"/>
          <w:b/>
        </w:rPr>
        <w:t>CT-ZUMPANGO-ACTA-ORD-005-2019.pdf</w:t>
      </w:r>
      <w:r w:rsidR="00DB46A9">
        <w:rPr>
          <w:rFonts w:ascii="Palatino Linotype" w:hAnsi="Palatino Linotype" w:cs="Arial"/>
          <w:b/>
        </w:rPr>
        <w:t xml:space="preserve">; </w:t>
      </w:r>
      <w:r w:rsidR="00DB46A9">
        <w:rPr>
          <w:rFonts w:ascii="Palatino Linotype" w:hAnsi="Palatino Linotype" w:cs="Arial"/>
        </w:rPr>
        <w:t xml:space="preserve">derivado de la respuesta proporcionada en fecha </w:t>
      </w:r>
      <w:r w:rsidR="00DB46A9" w:rsidRPr="00A91817">
        <w:rPr>
          <w:rFonts w:ascii="Palatino Linotype" w:hAnsi="Palatino Linotype"/>
        </w:rPr>
        <w:t>diez de abril de</w:t>
      </w:r>
      <w:r w:rsidR="00DB46A9">
        <w:rPr>
          <w:rFonts w:ascii="Palatino Linotype" w:hAnsi="Palatino Linotype"/>
        </w:rPr>
        <w:t xml:space="preserve"> la presente anualidad</w:t>
      </w:r>
      <w:r w:rsidR="00320D92" w:rsidRPr="009E2BFE">
        <w:rPr>
          <w:rFonts w:ascii="Palatino Linotype" w:hAnsi="Palatino Linotype"/>
          <w:color w:val="000000" w:themeColor="text1"/>
          <w:sz w:val="23"/>
          <w:szCs w:val="23"/>
        </w:rPr>
        <w:t xml:space="preserve"> interpuso el medio de impugnación materia de la emisión del presente, </w:t>
      </w:r>
      <w:r w:rsidR="00DB46A9">
        <w:rPr>
          <w:rFonts w:ascii="Palatino Linotype" w:hAnsi="Palatino Linotype"/>
          <w:color w:val="000000" w:themeColor="text1"/>
          <w:sz w:val="23"/>
          <w:szCs w:val="23"/>
        </w:rPr>
        <w:t>por considerar que la información era incompleta, además de que a decir del particular, advirtió inconsistencias en los recibos de nómina.</w:t>
      </w:r>
    </w:p>
    <w:p w:rsidR="00FF15AD" w:rsidRDefault="00127698" w:rsidP="00127698">
      <w:pPr>
        <w:spacing w:before="240" w:after="0" w:line="360" w:lineRule="auto"/>
        <w:jc w:val="both"/>
        <w:rPr>
          <w:rFonts w:ascii="Palatino Linotype" w:hAnsi="Palatino Linotype" w:cs="Arial"/>
          <w:sz w:val="23"/>
          <w:szCs w:val="23"/>
        </w:rPr>
      </w:pPr>
      <w:r>
        <w:rPr>
          <w:rFonts w:ascii="Palatino Linotype" w:hAnsi="Palatino Linotype" w:cs="Arial"/>
          <w:sz w:val="23"/>
          <w:szCs w:val="23"/>
        </w:rPr>
        <w:t xml:space="preserve">En ese sentido, si bien del estudio planteado, se advierte un análisis minucioso </w:t>
      </w:r>
      <w:r w:rsidR="00320D92">
        <w:rPr>
          <w:rFonts w:ascii="Palatino Linotype" w:hAnsi="Palatino Linotype" w:cs="Arial"/>
          <w:sz w:val="23"/>
          <w:szCs w:val="23"/>
        </w:rPr>
        <w:t xml:space="preserve">para ordenar los recibos solicitados y </w:t>
      </w:r>
      <w:r>
        <w:rPr>
          <w:rFonts w:ascii="Palatino Linotype" w:hAnsi="Palatino Linotype" w:cs="Arial"/>
          <w:sz w:val="23"/>
          <w:szCs w:val="23"/>
        </w:rPr>
        <w:t xml:space="preserve">los supuestos de clasificación de la información, también consideramos que el mismo no </w:t>
      </w:r>
      <w:r w:rsidR="008E77F3">
        <w:rPr>
          <w:rFonts w:ascii="Palatino Linotype" w:hAnsi="Palatino Linotype" w:cs="Arial"/>
          <w:sz w:val="23"/>
          <w:szCs w:val="23"/>
        </w:rPr>
        <w:t xml:space="preserve">es </w:t>
      </w:r>
      <w:r>
        <w:rPr>
          <w:rFonts w:ascii="Palatino Linotype" w:hAnsi="Palatino Linotype" w:cs="Arial"/>
          <w:sz w:val="23"/>
          <w:szCs w:val="23"/>
        </w:rPr>
        <w:t>suficiente</w:t>
      </w:r>
      <w:r w:rsidR="003E2DA1" w:rsidRPr="00D12EC2">
        <w:rPr>
          <w:rFonts w:ascii="Palatino Linotype" w:hAnsi="Palatino Linotype" w:cs="Arial"/>
          <w:sz w:val="23"/>
          <w:szCs w:val="23"/>
        </w:rPr>
        <w:t xml:space="preserve">, </w:t>
      </w:r>
      <w:r>
        <w:rPr>
          <w:rFonts w:ascii="Palatino Linotype" w:hAnsi="Palatino Linotype" w:cs="Arial"/>
          <w:sz w:val="23"/>
          <w:szCs w:val="23"/>
        </w:rPr>
        <w:t xml:space="preserve">toda vez </w:t>
      </w:r>
      <w:r w:rsidR="00320D92">
        <w:rPr>
          <w:rFonts w:ascii="Palatino Linotype" w:hAnsi="Palatino Linotype" w:cs="Arial"/>
          <w:sz w:val="23"/>
          <w:szCs w:val="23"/>
        </w:rPr>
        <w:t>que no soslayamos, que la información sobre l</w:t>
      </w:r>
      <w:r>
        <w:rPr>
          <w:rFonts w:ascii="Palatino Linotype" w:hAnsi="Palatino Linotype" w:cs="Arial"/>
          <w:sz w:val="23"/>
          <w:szCs w:val="23"/>
        </w:rPr>
        <w:t xml:space="preserve">os </w:t>
      </w:r>
      <w:r w:rsidR="003E2DA1" w:rsidRPr="00D12EC2">
        <w:rPr>
          <w:rFonts w:ascii="Palatino Linotype" w:hAnsi="Palatino Linotype" w:cs="Arial"/>
          <w:sz w:val="23"/>
          <w:szCs w:val="23"/>
        </w:rPr>
        <w:t xml:space="preserve">servidores públicos </w:t>
      </w:r>
      <w:r w:rsidR="00320D92">
        <w:rPr>
          <w:rFonts w:ascii="Palatino Linotype" w:hAnsi="Palatino Linotype" w:cs="Arial"/>
          <w:sz w:val="23"/>
          <w:szCs w:val="23"/>
        </w:rPr>
        <w:t xml:space="preserve">del Municipio de </w:t>
      </w:r>
      <w:r w:rsidR="00DB46A9">
        <w:rPr>
          <w:rFonts w:ascii="Palatino Linotype" w:hAnsi="Palatino Linotype" w:cs="Arial"/>
          <w:sz w:val="23"/>
          <w:szCs w:val="23"/>
        </w:rPr>
        <w:t>Zumpango</w:t>
      </w:r>
      <w:r>
        <w:rPr>
          <w:rFonts w:ascii="Palatino Linotype" w:hAnsi="Palatino Linotype" w:cs="Arial"/>
          <w:sz w:val="23"/>
          <w:szCs w:val="23"/>
        </w:rPr>
        <w:t xml:space="preserve">, </w:t>
      </w:r>
      <w:r w:rsidR="00FF15AD">
        <w:rPr>
          <w:rFonts w:ascii="Palatino Linotype" w:hAnsi="Palatino Linotype" w:cs="Arial"/>
          <w:sz w:val="23"/>
          <w:szCs w:val="23"/>
        </w:rPr>
        <w:t>incluye a los elementos de seguridad pública.</w:t>
      </w:r>
    </w:p>
    <w:p w:rsidR="001E4177" w:rsidRDefault="00D1734B" w:rsidP="001E4177">
      <w:pPr>
        <w:spacing w:before="100" w:beforeAutospacing="1" w:after="100" w:afterAutospacing="1" w:line="360" w:lineRule="auto"/>
        <w:ind w:right="49"/>
        <w:jc w:val="both"/>
        <w:rPr>
          <w:rFonts w:ascii="Palatino Linotype" w:hAnsi="Palatino Linotype" w:cs="Arial"/>
          <w:lang w:val="es-ES_tradnl"/>
        </w:rPr>
      </w:pPr>
      <w:r>
        <w:rPr>
          <w:rFonts w:ascii="Palatino Linotype" w:hAnsi="Palatino Linotype" w:cs="Arial"/>
          <w:sz w:val="23"/>
          <w:szCs w:val="23"/>
        </w:rPr>
        <w:t xml:space="preserve">Bajo dichas circunstancias, </w:t>
      </w:r>
      <w:r w:rsidR="00FF15AD" w:rsidRPr="00D12EC2">
        <w:rPr>
          <w:rFonts w:ascii="Palatino Linotype" w:hAnsi="Palatino Linotype" w:cs="Arial"/>
          <w:sz w:val="23"/>
          <w:szCs w:val="23"/>
        </w:rPr>
        <w:t>si bien es cierto l</w:t>
      </w:r>
      <w:r w:rsidR="00FF15AD">
        <w:rPr>
          <w:rFonts w:ascii="Palatino Linotype" w:hAnsi="Palatino Linotype" w:cs="Arial"/>
          <w:sz w:val="23"/>
          <w:szCs w:val="23"/>
        </w:rPr>
        <w:t>a Comisionada</w:t>
      </w:r>
      <w:r w:rsidR="00FF15AD" w:rsidRPr="00D12EC2">
        <w:rPr>
          <w:rFonts w:ascii="Palatino Linotype" w:hAnsi="Palatino Linotype" w:cs="Arial"/>
          <w:sz w:val="23"/>
          <w:szCs w:val="23"/>
        </w:rPr>
        <w:t xml:space="preserve"> Ponente</w:t>
      </w:r>
      <w:r w:rsidR="00FF15AD">
        <w:rPr>
          <w:rFonts w:ascii="Palatino Linotype" w:hAnsi="Palatino Linotype" w:cs="Arial"/>
          <w:sz w:val="23"/>
          <w:szCs w:val="23"/>
        </w:rPr>
        <w:t xml:space="preserve"> </w:t>
      </w:r>
      <w:r w:rsidR="00FF15AD" w:rsidRPr="00D12EC2">
        <w:rPr>
          <w:rFonts w:ascii="Palatino Linotype" w:hAnsi="Palatino Linotype" w:cs="Arial"/>
          <w:sz w:val="23"/>
          <w:szCs w:val="23"/>
        </w:rPr>
        <w:t>(</w:t>
      </w:r>
      <w:r w:rsidR="00DB46A9">
        <w:rPr>
          <w:rFonts w:ascii="Palatino Linotype" w:hAnsi="Palatino Linotype" w:cs="Arial"/>
          <w:i/>
          <w:sz w:val="23"/>
          <w:szCs w:val="23"/>
        </w:rPr>
        <w:t>en la página</w:t>
      </w:r>
      <w:r w:rsidR="00FF15AD">
        <w:rPr>
          <w:rFonts w:ascii="Palatino Linotype" w:hAnsi="Palatino Linotype" w:cs="Arial"/>
          <w:i/>
          <w:sz w:val="23"/>
          <w:szCs w:val="23"/>
        </w:rPr>
        <w:t xml:space="preserve"> </w:t>
      </w:r>
      <w:r w:rsidR="00DB46A9">
        <w:rPr>
          <w:rFonts w:ascii="Palatino Linotype" w:hAnsi="Palatino Linotype" w:cs="Arial"/>
          <w:i/>
          <w:sz w:val="23"/>
          <w:szCs w:val="23"/>
        </w:rPr>
        <w:t>29</w:t>
      </w:r>
      <w:r w:rsidR="00FF15AD">
        <w:rPr>
          <w:rFonts w:ascii="Palatino Linotype" w:hAnsi="Palatino Linotype" w:cs="Arial"/>
          <w:sz w:val="23"/>
          <w:szCs w:val="23"/>
        </w:rPr>
        <w:t>) en relación con</w:t>
      </w:r>
      <w:r w:rsidR="00FF15AD" w:rsidRPr="00D12EC2">
        <w:rPr>
          <w:rFonts w:ascii="Palatino Linotype" w:hAnsi="Palatino Linotype" w:cs="Arial"/>
          <w:sz w:val="23"/>
          <w:szCs w:val="23"/>
        </w:rPr>
        <w:t xml:space="preserve"> la información de los cuerpos de seguridad refirió que la misma </w:t>
      </w:r>
      <w:r w:rsidR="00FF15AD">
        <w:rPr>
          <w:rFonts w:ascii="Palatino Linotype" w:hAnsi="Palatino Linotype" w:cs="Arial"/>
          <w:sz w:val="23"/>
          <w:szCs w:val="23"/>
        </w:rPr>
        <w:t>debe ser</w:t>
      </w:r>
      <w:r w:rsidR="00FF15AD" w:rsidRPr="00D12EC2">
        <w:rPr>
          <w:rFonts w:ascii="Palatino Linotype" w:hAnsi="Palatino Linotype" w:cs="Arial"/>
          <w:sz w:val="23"/>
          <w:szCs w:val="23"/>
        </w:rPr>
        <w:t xml:space="preserve"> entregada de manera disociada</w:t>
      </w:r>
      <w:r w:rsidR="00FF15AD">
        <w:rPr>
          <w:rFonts w:ascii="Palatino Linotype" w:hAnsi="Palatino Linotype" w:cs="Arial"/>
          <w:sz w:val="23"/>
          <w:szCs w:val="23"/>
        </w:rPr>
        <w:t>; esto es, se</w:t>
      </w:r>
      <w:r w:rsidR="001E4177" w:rsidRPr="00A91817">
        <w:rPr>
          <w:rFonts w:ascii="Palatino Linotype" w:hAnsi="Palatino Linotype" w:cs="Arial"/>
        </w:rPr>
        <w:t xml:space="preserve"> deberá proceder a disociar el nombre, cargo y sueldo específico, a efecto de no hacer identificable al personal operativo de dicha Comisaría</w:t>
      </w:r>
      <w:r w:rsidR="001E4177">
        <w:rPr>
          <w:rFonts w:ascii="Palatino Linotype" w:hAnsi="Palatino Linotype" w:cs="Arial"/>
        </w:rPr>
        <w:t>, t</w:t>
      </w:r>
      <w:r w:rsidR="001E4177" w:rsidRPr="00A91817">
        <w:rPr>
          <w:rFonts w:ascii="Palatino Linotype" w:hAnsi="Palatino Linotype" w:cs="Arial"/>
          <w:lang w:val="es-ES_tradnl"/>
        </w:rPr>
        <w:t>esta</w:t>
      </w:r>
      <w:r w:rsidR="001E4177">
        <w:rPr>
          <w:rFonts w:ascii="Palatino Linotype" w:hAnsi="Palatino Linotype" w:cs="Arial"/>
          <w:lang w:val="es-ES_tradnl"/>
        </w:rPr>
        <w:t>ndo</w:t>
      </w:r>
      <w:r w:rsidR="001E4177" w:rsidRPr="00A91817">
        <w:rPr>
          <w:rFonts w:ascii="Palatino Linotype" w:hAnsi="Palatino Linotype" w:cs="Arial"/>
          <w:lang w:val="es-ES_tradnl"/>
        </w:rPr>
        <w:t xml:space="preserve"> los datos </w:t>
      </w:r>
      <w:r w:rsidR="00E4323F">
        <w:rPr>
          <w:rFonts w:ascii="Palatino Linotype" w:hAnsi="Palatino Linotype" w:cs="Arial"/>
          <w:lang w:val="es-ES_tradnl"/>
        </w:rPr>
        <w:t xml:space="preserve">como </w:t>
      </w:r>
      <w:r w:rsidR="001E4177" w:rsidRPr="00A91817">
        <w:rPr>
          <w:rFonts w:ascii="Palatino Linotype" w:hAnsi="Palatino Linotype" w:cs="Arial"/>
          <w:lang w:val="es-ES_tradnl"/>
        </w:rPr>
        <w:t>confidenciales</w:t>
      </w:r>
      <w:r w:rsidR="001E4177">
        <w:rPr>
          <w:rFonts w:ascii="Palatino Linotype" w:hAnsi="Palatino Linotype" w:cs="Arial"/>
          <w:lang w:val="es-ES_tradnl"/>
        </w:rPr>
        <w:t>.</w:t>
      </w:r>
    </w:p>
    <w:p w:rsidR="003E2DA1" w:rsidRPr="00D12EC2" w:rsidRDefault="00E4323F" w:rsidP="003E2DA1">
      <w:pPr>
        <w:shd w:val="clear" w:color="auto" w:fill="FFFFFF"/>
        <w:spacing w:before="240" w:after="240" w:line="360" w:lineRule="auto"/>
        <w:jc w:val="both"/>
        <w:rPr>
          <w:sz w:val="23"/>
          <w:szCs w:val="23"/>
          <w:lang w:eastAsia="es-MX"/>
        </w:rPr>
      </w:pPr>
      <w:r>
        <w:rPr>
          <w:rFonts w:ascii="Palatino Linotype" w:hAnsi="Palatino Linotype"/>
          <w:sz w:val="23"/>
          <w:szCs w:val="23"/>
          <w:lang w:eastAsia="es-MX"/>
        </w:rPr>
        <w:t>Pronunciamiento que si bien comparto, en lo relativo a que la información de los cuerpos de seguridad no puede ser del dominio público</w:t>
      </w:r>
      <w:r w:rsidR="003E2DA1" w:rsidRPr="00D12EC2">
        <w:rPr>
          <w:rFonts w:ascii="Palatino Linotype" w:hAnsi="Palatino Linotype"/>
          <w:sz w:val="23"/>
          <w:szCs w:val="23"/>
          <w:lang w:eastAsia="es-MX"/>
        </w:rPr>
        <w:t xml:space="preserve">,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w:t>
      </w:r>
      <w:r w:rsidR="003E2DA1" w:rsidRPr="00D12EC2">
        <w:rPr>
          <w:rFonts w:ascii="Palatino Linotype" w:hAnsi="Palatino Linotype"/>
          <w:sz w:val="23"/>
          <w:szCs w:val="23"/>
          <w:lang w:eastAsia="es-MX"/>
        </w:rPr>
        <w:lastRenderedPageBreak/>
        <w:t>integridad, toda vez que son responsables de procurar el orden, la estabilidad y la defensa de la sociedad a la que pertenecen.</w:t>
      </w:r>
    </w:p>
    <w:p w:rsidR="003E2DA1" w:rsidRPr="00D12EC2" w:rsidRDefault="003E2DA1" w:rsidP="003E2DA1">
      <w:pPr>
        <w:shd w:val="clear" w:color="auto" w:fill="FFFFFF"/>
        <w:spacing w:before="240" w:after="240" w:line="360" w:lineRule="auto"/>
        <w:jc w:val="both"/>
        <w:rPr>
          <w:sz w:val="23"/>
          <w:szCs w:val="23"/>
          <w:lang w:eastAsia="es-MX"/>
        </w:rPr>
      </w:pPr>
      <w:r w:rsidRPr="00D12EC2">
        <w:rPr>
          <w:rFonts w:ascii="Palatino Linotype" w:hAnsi="Palatino Linotype"/>
          <w:sz w:val="23"/>
          <w:szCs w:val="23"/>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3E2DA1" w:rsidRPr="00D12EC2" w:rsidRDefault="003E2DA1" w:rsidP="003E2DA1">
      <w:pPr>
        <w:spacing w:before="240" w:after="0" w:line="360" w:lineRule="auto"/>
        <w:jc w:val="both"/>
        <w:rPr>
          <w:rFonts w:ascii="Palatino Linotype" w:eastAsia="MS Mincho" w:hAnsi="Palatino Linotype" w:cs="Arial"/>
          <w:sz w:val="23"/>
          <w:szCs w:val="23"/>
          <w:lang w:val="es-ES"/>
        </w:rPr>
      </w:pPr>
      <w:r w:rsidRPr="00D12EC2">
        <w:rPr>
          <w:rFonts w:ascii="Palatino Linotype" w:hAnsi="Palatino Linotype" w:cs="Arial"/>
          <w:sz w:val="23"/>
          <w:szCs w:val="23"/>
        </w:rPr>
        <w:t xml:space="preserve">Se afirma lo anterior, en virtud de que no debe perderse de vista que </w:t>
      </w:r>
      <w:r w:rsidRPr="00D12EC2">
        <w:rPr>
          <w:rFonts w:ascii="Palatino Linotype" w:eastAsia="MS Mincho" w:hAnsi="Palatino Linotype" w:cs="Arial"/>
          <w:sz w:val="23"/>
          <w:szCs w:val="23"/>
          <w:lang w:val="es-ES"/>
        </w:rPr>
        <w:t xml:space="preserve">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w:t>
      </w:r>
      <w:r w:rsidR="007E7E8E">
        <w:rPr>
          <w:rFonts w:ascii="Palatino Linotype" w:eastAsia="MS Mincho" w:hAnsi="Palatino Linotype" w:cs="Arial"/>
          <w:sz w:val="23"/>
          <w:szCs w:val="23"/>
          <w:lang w:val="es-ES"/>
        </w:rPr>
        <w:t>artículo 113, fracción I de la L</w:t>
      </w:r>
      <w:r w:rsidRPr="00D12EC2">
        <w:rPr>
          <w:rFonts w:ascii="Palatino Linotype" w:eastAsia="MS Mincho" w:hAnsi="Palatino Linotype" w:cs="Arial"/>
          <w:sz w:val="23"/>
          <w:szCs w:val="23"/>
          <w:lang w:val="es-ES"/>
        </w:rPr>
        <w:t xml:space="preserve">ey General de Transparencia </w:t>
      </w:r>
      <w:r w:rsidR="007E7E8E">
        <w:rPr>
          <w:rFonts w:ascii="Palatino Linotype" w:eastAsia="MS Mincho" w:hAnsi="Palatino Linotype" w:cs="Arial"/>
          <w:sz w:val="23"/>
          <w:szCs w:val="23"/>
          <w:lang w:val="es-ES"/>
        </w:rPr>
        <w:t>y Acceso a la Información Pública,</w:t>
      </w:r>
      <w:r w:rsidRPr="00D12EC2">
        <w:rPr>
          <w:rFonts w:ascii="Palatino Linotype" w:eastAsia="MS Mincho" w:hAnsi="Palatino Linotype" w:cs="Arial"/>
          <w:sz w:val="23"/>
          <w:szCs w:val="23"/>
          <w:lang w:val="es-ES"/>
        </w:rPr>
        <w:t xml:space="preserve">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w:t>
      </w:r>
      <w:r w:rsidR="00177FB6">
        <w:rPr>
          <w:rFonts w:ascii="Palatino Linotype" w:eastAsia="MS Mincho" w:hAnsi="Palatino Linotype" w:cs="Arial"/>
          <w:sz w:val="23"/>
          <w:szCs w:val="23"/>
          <w:lang w:val="es-ES"/>
        </w:rPr>
        <w:t>permite el acceso a la información de los prestadores de</w:t>
      </w:r>
      <w:r w:rsidRPr="00D12EC2">
        <w:rPr>
          <w:rFonts w:ascii="Palatino Linotype" w:eastAsia="MS Mincho" w:hAnsi="Palatino Linotype" w:cs="Arial"/>
          <w:sz w:val="23"/>
          <w:szCs w:val="23"/>
          <w:lang w:val="es-ES"/>
        </w:rPr>
        <w:t xml:space="preserve"> servicios en áreas de seguridad nacional o pública, puede llegar a constituirse en un componente fundamental en el esfuerzo que realiza el Estado </w:t>
      </w:r>
      <w:r w:rsidRPr="00D12EC2">
        <w:rPr>
          <w:rFonts w:ascii="Palatino Linotype" w:eastAsia="MS Mincho" w:hAnsi="Palatino Linotype" w:cs="Arial"/>
          <w:sz w:val="23"/>
          <w:szCs w:val="23"/>
          <w:lang w:val="es-ES"/>
        </w:rPr>
        <w:lastRenderedPageBreak/>
        <w:t xml:space="preserve">Mexicano para garantizar la seguridad del país en sus diferentes vertientes, toda vez que </w:t>
      </w:r>
      <w:r w:rsidR="007E7E8E">
        <w:rPr>
          <w:rFonts w:ascii="Palatino Linotype" w:eastAsia="MS Mincho" w:hAnsi="Palatino Linotype" w:cs="Arial"/>
          <w:sz w:val="23"/>
          <w:szCs w:val="23"/>
          <w:lang w:val="es-ES"/>
        </w:rPr>
        <w:t>como se h</w:t>
      </w:r>
      <w:r w:rsidRPr="00D12EC2">
        <w:rPr>
          <w:rFonts w:ascii="Palatino Linotype" w:eastAsia="MS Mincho" w:hAnsi="Palatino Linotype" w:cs="Arial"/>
          <w:sz w:val="23"/>
          <w:szCs w:val="23"/>
          <w:lang w:val="es-ES"/>
        </w:rPr>
        <w:t>a mencionado con antelación</w:t>
      </w:r>
      <w:r w:rsidR="00472456">
        <w:rPr>
          <w:rFonts w:ascii="Palatino Linotype" w:eastAsia="MS Mincho" w:hAnsi="Palatino Linotype" w:cs="Arial"/>
          <w:sz w:val="23"/>
          <w:szCs w:val="23"/>
          <w:lang w:val="es-ES"/>
        </w:rPr>
        <w:t>,</w:t>
      </w:r>
      <w:r w:rsidRPr="00D12EC2">
        <w:rPr>
          <w:rFonts w:ascii="Palatino Linotype" w:eastAsia="MS Mincho" w:hAnsi="Palatino Linotype" w:cs="Arial"/>
          <w:sz w:val="23"/>
          <w:szCs w:val="23"/>
          <w:lang w:val="es-ES"/>
        </w:rPr>
        <w:t xml:space="preserve"> al proporcionar la información solicitada por el recurrente, </w:t>
      </w:r>
      <w:r w:rsidR="007E7E8E">
        <w:rPr>
          <w:rFonts w:ascii="Palatino Linotype" w:eastAsia="MS Mincho" w:hAnsi="Palatino Linotype" w:cs="Arial"/>
          <w:sz w:val="23"/>
          <w:szCs w:val="23"/>
          <w:lang w:val="es-ES"/>
        </w:rPr>
        <w:t>es posible</w:t>
      </w:r>
      <w:r w:rsidRPr="00D12EC2">
        <w:rPr>
          <w:rFonts w:ascii="Palatino Linotype" w:eastAsia="MS Mincho" w:hAnsi="Palatino Linotype" w:cs="Arial"/>
          <w:sz w:val="23"/>
          <w:szCs w:val="23"/>
          <w:lang w:val="es-ES"/>
        </w:rPr>
        <w:t xml:space="preserve"> </w:t>
      </w:r>
      <w:r w:rsidR="00177FB6">
        <w:rPr>
          <w:rFonts w:ascii="Palatino Linotype" w:eastAsia="MS Mincho" w:hAnsi="Palatino Linotype" w:cs="Arial"/>
          <w:sz w:val="23"/>
          <w:szCs w:val="23"/>
          <w:lang w:val="es-ES"/>
        </w:rPr>
        <w:t>identificar si se trata de servidores públicos operativos</w:t>
      </w:r>
      <w:r w:rsidRPr="00D12EC2">
        <w:rPr>
          <w:rFonts w:ascii="Palatino Linotype" w:eastAsia="MS Mincho" w:hAnsi="Palatino Linotype" w:cs="Arial"/>
          <w:sz w:val="23"/>
          <w:szCs w:val="23"/>
          <w:lang w:val="es-ES"/>
        </w:rPr>
        <w:t xml:space="preserve">, circunstancia que </w:t>
      </w:r>
      <w:r w:rsidRPr="00D12EC2">
        <w:rPr>
          <w:rFonts w:ascii="Palatino Linotype" w:eastAsia="MS Mincho" w:hAnsi="Palatino Linotype" w:cs="Arial"/>
          <w:sz w:val="23"/>
          <w:szCs w:val="23"/>
          <w:lang w:val="es-ES_tradnl"/>
        </w:rPr>
        <w:t>puede poner en riesgo la vida e integridad física de los integrantes de los cuerpos policiacos, al respecto cabe hacer mención que no debe pasar desapercibido que el artículo 81</w:t>
      </w:r>
      <w:r w:rsidR="00472456">
        <w:rPr>
          <w:rFonts w:ascii="Palatino Linotype" w:eastAsia="MS Mincho" w:hAnsi="Palatino Linotype" w:cs="Arial"/>
          <w:sz w:val="23"/>
          <w:szCs w:val="23"/>
          <w:lang w:val="es-ES_tradnl"/>
        </w:rPr>
        <w:t>,</w:t>
      </w:r>
      <w:r w:rsidRPr="00D12EC2">
        <w:rPr>
          <w:rFonts w:ascii="Palatino Linotype" w:eastAsia="MS Mincho" w:hAnsi="Palatino Linotype" w:cs="Arial"/>
          <w:sz w:val="23"/>
          <w:szCs w:val="23"/>
          <w:lang w:val="es-ES_tradnl"/>
        </w:rPr>
        <w:t xml:space="preserve"> fracción III</w:t>
      </w:r>
      <w:r w:rsidR="00472456">
        <w:rPr>
          <w:rFonts w:ascii="Palatino Linotype" w:eastAsia="MS Mincho" w:hAnsi="Palatino Linotype" w:cs="Arial"/>
          <w:sz w:val="23"/>
          <w:szCs w:val="23"/>
          <w:lang w:val="es-ES_tradnl"/>
        </w:rPr>
        <w:t>,</w:t>
      </w:r>
      <w:r w:rsidRPr="00D12EC2">
        <w:rPr>
          <w:rFonts w:ascii="Palatino Linotype" w:eastAsia="MS Mincho" w:hAnsi="Palatino Linotype" w:cs="Arial"/>
          <w:sz w:val="23"/>
          <w:szCs w:val="23"/>
          <w:lang w:val="es-ES_tradnl"/>
        </w:rPr>
        <w:t xml:space="preserve"> de la Ley de Seguridad del Estado de México, establece lo siguiente: </w:t>
      </w:r>
    </w:p>
    <w:p w:rsidR="003E2DA1" w:rsidRPr="00D12EC2" w:rsidRDefault="003E2DA1" w:rsidP="003E2DA1">
      <w:pPr>
        <w:spacing w:after="0" w:line="240" w:lineRule="auto"/>
        <w:ind w:left="851" w:right="851"/>
        <w:jc w:val="both"/>
        <w:rPr>
          <w:rFonts w:ascii="Palatino Linotype" w:eastAsia="MS Mincho" w:hAnsi="Palatino Linotype" w:cs="Arial"/>
          <w:i/>
          <w:sz w:val="20"/>
          <w:szCs w:val="20"/>
          <w:lang w:val="es-ES_tradnl"/>
        </w:rPr>
      </w:pPr>
    </w:p>
    <w:p w:rsidR="003E2DA1" w:rsidRPr="002C7102" w:rsidRDefault="003E2DA1" w:rsidP="003E2DA1">
      <w:pPr>
        <w:spacing w:after="0" w:line="240" w:lineRule="auto"/>
        <w:ind w:left="851" w:right="851"/>
        <w:jc w:val="both"/>
        <w:rPr>
          <w:rFonts w:ascii="Palatino Linotype" w:eastAsia="MS Mincho" w:hAnsi="Palatino Linotype" w:cs="Arial"/>
          <w:i/>
          <w:sz w:val="20"/>
          <w:szCs w:val="20"/>
          <w:lang w:val="es-ES_tradnl"/>
        </w:rPr>
      </w:pPr>
      <w:r w:rsidRPr="002C7102">
        <w:rPr>
          <w:rFonts w:ascii="Palatino Linotype" w:eastAsia="MS Mincho" w:hAnsi="Palatino Linotype" w:cs="Arial"/>
          <w:i/>
          <w:sz w:val="20"/>
          <w:szCs w:val="20"/>
          <w:lang w:val="es-ES_tradnl"/>
        </w:rPr>
        <w:t>“</w:t>
      </w:r>
      <w:r w:rsidRPr="002C7102">
        <w:rPr>
          <w:rFonts w:ascii="Palatino Linotype" w:eastAsia="MS Mincho" w:hAnsi="Palatino Linotype" w:cs="Arial"/>
          <w:b/>
          <w:i/>
          <w:sz w:val="20"/>
          <w:szCs w:val="20"/>
          <w:lang w:val="es-ES_tradnl"/>
        </w:rPr>
        <w:t>Artículo 81.-</w:t>
      </w:r>
      <w:r w:rsidRPr="002C7102">
        <w:rPr>
          <w:rFonts w:ascii="Palatino Linotype" w:eastAsia="MS Mincho" w:hAnsi="Palatino Linotype" w:cs="Arial"/>
          <w:i/>
          <w:sz w:val="20"/>
          <w:szCs w:val="20"/>
          <w:lang w:val="es-ES_tradnl"/>
        </w:rPr>
        <w:t xml:space="preserve"> </w:t>
      </w:r>
      <w:r w:rsidRPr="002C7102">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2C7102">
        <w:rPr>
          <w:rFonts w:ascii="Palatino Linotype" w:eastAsia="MS Mincho" w:hAnsi="Palatino Linotype" w:cs="Arial"/>
          <w:b/>
          <w:i/>
          <w:sz w:val="20"/>
          <w:szCs w:val="20"/>
          <w:u w:val="single"/>
          <w:lang w:val="es-ES_tradnl"/>
        </w:rPr>
        <w:t>No obstante lo anterior, esta información se considerará reservada</w:t>
      </w:r>
      <w:r w:rsidRPr="002C7102">
        <w:rPr>
          <w:rFonts w:ascii="Palatino Linotype" w:eastAsia="MS Mincho" w:hAnsi="Palatino Linotype" w:cs="Arial"/>
          <w:i/>
          <w:sz w:val="20"/>
          <w:szCs w:val="20"/>
          <w:lang w:val="es-ES_tradnl"/>
        </w:rPr>
        <w:t xml:space="preserve"> en los casos siguientes:</w:t>
      </w:r>
    </w:p>
    <w:p w:rsidR="003E2DA1" w:rsidRPr="002C7102" w:rsidRDefault="003E2DA1" w:rsidP="003E2DA1">
      <w:pPr>
        <w:spacing w:after="0" w:line="240" w:lineRule="auto"/>
        <w:ind w:left="851" w:right="851"/>
        <w:jc w:val="both"/>
        <w:rPr>
          <w:rFonts w:ascii="Palatino Linotype" w:eastAsia="MS Mincho" w:hAnsi="Palatino Linotype" w:cs="Arial"/>
          <w:i/>
          <w:sz w:val="20"/>
          <w:szCs w:val="20"/>
          <w:lang w:val="es-ES_tradnl"/>
        </w:rPr>
      </w:pPr>
      <w:r w:rsidRPr="002C7102">
        <w:rPr>
          <w:rFonts w:ascii="Palatino Linotype" w:eastAsia="MS Mincho" w:hAnsi="Palatino Linotype" w:cs="Arial"/>
          <w:i/>
          <w:sz w:val="20"/>
          <w:szCs w:val="20"/>
          <w:lang w:val="es-ES_tradnl"/>
        </w:rPr>
        <w:t>…</w:t>
      </w:r>
    </w:p>
    <w:p w:rsidR="003E2DA1" w:rsidRPr="002C7102" w:rsidRDefault="003E2DA1" w:rsidP="003E2DA1">
      <w:pPr>
        <w:spacing w:after="0" w:line="240" w:lineRule="auto"/>
        <w:ind w:left="851" w:right="851"/>
        <w:jc w:val="both"/>
        <w:rPr>
          <w:rFonts w:ascii="Palatino Linotype" w:eastAsia="MS Mincho" w:hAnsi="Palatino Linotype" w:cs="Arial"/>
          <w:i/>
          <w:sz w:val="20"/>
          <w:szCs w:val="20"/>
          <w:lang w:val="es-ES_tradnl"/>
        </w:rPr>
      </w:pPr>
      <w:r w:rsidRPr="002C7102">
        <w:rPr>
          <w:rFonts w:ascii="Palatino Linotype" w:eastAsia="MS Mincho" w:hAnsi="Palatino Linotype" w:cs="Arial"/>
          <w:b/>
          <w:i/>
          <w:sz w:val="20"/>
          <w:szCs w:val="20"/>
          <w:lang w:val="es-ES_tradnl"/>
        </w:rPr>
        <w:t>III.</w:t>
      </w:r>
      <w:r w:rsidRPr="002C7102">
        <w:rPr>
          <w:rFonts w:ascii="Palatino Linotype" w:eastAsia="MS Mincho" w:hAnsi="Palatino Linotype" w:cs="Arial"/>
          <w:i/>
          <w:sz w:val="20"/>
          <w:szCs w:val="20"/>
          <w:lang w:val="es-ES_tradnl"/>
        </w:rPr>
        <w:t xml:space="preserve"> </w:t>
      </w:r>
      <w:r w:rsidRPr="002C7102">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2C7102">
        <w:rPr>
          <w:rFonts w:ascii="Palatino Linotype" w:eastAsia="MS Mincho" w:hAnsi="Palatino Linotype" w:cs="Arial"/>
          <w:i/>
          <w:sz w:val="20"/>
          <w:szCs w:val="20"/>
          <w:lang w:val="es-ES_tradnl"/>
        </w:rPr>
        <w:t>”</w:t>
      </w:r>
    </w:p>
    <w:p w:rsidR="003E2DA1" w:rsidRPr="002C7102" w:rsidRDefault="003E2DA1" w:rsidP="003E2DA1">
      <w:pPr>
        <w:spacing w:after="0" w:line="240" w:lineRule="auto"/>
        <w:ind w:left="851" w:right="851"/>
        <w:jc w:val="both"/>
        <w:rPr>
          <w:rFonts w:ascii="Palatino Linotype" w:eastAsia="MS Mincho" w:hAnsi="Palatino Linotype" w:cs="Arial"/>
          <w:i/>
          <w:sz w:val="20"/>
          <w:szCs w:val="20"/>
          <w:lang w:val="es-ES_tradnl"/>
        </w:rPr>
      </w:pPr>
    </w:p>
    <w:p w:rsidR="003E2DA1" w:rsidRPr="002C7102" w:rsidRDefault="003E2DA1" w:rsidP="003E2DA1">
      <w:pPr>
        <w:spacing w:after="0" w:line="240" w:lineRule="auto"/>
        <w:ind w:left="851" w:right="851"/>
        <w:jc w:val="both"/>
        <w:rPr>
          <w:rFonts w:ascii="Palatino Linotype" w:eastAsia="MS Mincho" w:hAnsi="Palatino Linotype" w:cs="Arial"/>
          <w:i/>
          <w:sz w:val="20"/>
          <w:szCs w:val="20"/>
          <w:lang w:val="es-ES_tradnl"/>
        </w:rPr>
      </w:pPr>
      <w:r w:rsidRPr="002C7102">
        <w:rPr>
          <w:rFonts w:ascii="Palatino Linotype" w:eastAsia="MS Mincho" w:hAnsi="Palatino Linotype" w:cs="Arial"/>
          <w:i/>
          <w:sz w:val="20"/>
          <w:szCs w:val="20"/>
          <w:lang w:val="es-ES_tradnl"/>
        </w:rPr>
        <w:t>Énfasis añadido</w:t>
      </w:r>
    </w:p>
    <w:p w:rsidR="003E2DA1" w:rsidRPr="00D12EC2" w:rsidRDefault="003E2DA1" w:rsidP="003E2DA1">
      <w:pPr>
        <w:jc w:val="both"/>
        <w:rPr>
          <w:rFonts w:ascii="Palatino Linotype" w:eastAsia="MS Mincho" w:hAnsi="Palatino Linotype" w:cs="Arial"/>
          <w:lang w:val="es-ES_tradnl"/>
        </w:rPr>
      </w:pPr>
    </w:p>
    <w:p w:rsidR="003E2DA1" w:rsidRPr="00D12EC2" w:rsidRDefault="003E2DA1" w:rsidP="003E2DA1">
      <w:pPr>
        <w:spacing w:before="240" w:after="240" w:line="360" w:lineRule="auto"/>
        <w:jc w:val="both"/>
        <w:rPr>
          <w:rFonts w:ascii="Palatino Linotype" w:hAnsi="Palatino Linotype" w:cs="Arial"/>
          <w:sz w:val="23"/>
          <w:szCs w:val="23"/>
        </w:rPr>
      </w:pPr>
      <w:r w:rsidRPr="00D12EC2">
        <w:rPr>
          <w:rFonts w:ascii="Palatino Linotype" w:hAnsi="Palatino Linotype" w:cs="Arial"/>
          <w:sz w:val="23"/>
          <w:szCs w:val="23"/>
        </w:rPr>
        <w:t xml:space="preserve">Argumento que se fortalece con lo estipulado en el criterio número 6-09, emitido por el Instituto Nacional de Transparencia, Acceso a la Información y Protección de Datos Personales, antes </w:t>
      </w:r>
      <w:r w:rsidRPr="00D12EC2">
        <w:rPr>
          <w:rFonts w:ascii="Palatino Linotype" w:hAnsi="Palatino Linotype" w:cs="Arial"/>
          <w:sz w:val="23"/>
          <w:szCs w:val="23"/>
          <w:lang w:eastAsia="es-MX"/>
        </w:rPr>
        <w:t>(IFAI)</w:t>
      </w:r>
      <w:r w:rsidRPr="00D12EC2">
        <w:rPr>
          <w:rStyle w:val="Textoennegrita"/>
          <w:rFonts w:ascii="Palatino Linotype" w:hAnsi="Palatino Linotype" w:cs="Arial"/>
          <w:sz w:val="23"/>
          <w:szCs w:val="23"/>
        </w:rPr>
        <w:t xml:space="preserve">, </w:t>
      </w:r>
      <w:r w:rsidRPr="00D12EC2">
        <w:rPr>
          <w:rFonts w:ascii="Palatino Linotype" w:hAnsi="Palatino Linotype" w:cs="Arial"/>
          <w:sz w:val="23"/>
          <w:szCs w:val="23"/>
        </w:rPr>
        <w:t xml:space="preserve">el cual refiere: </w:t>
      </w:r>
    </w:p>
    <w:p w:rsidR="003E2DA1" w:rsidRPr="002C7102" w:rsidRDefault="003E2DA1" w:rsidP="003E2DA1">
      <w:pPr>
        <w:autoSpaceDE w:val="0"/>
        <w:autoSpaceDN w:val="0"/>
        <w:adjustRightInd w:val="0"/>
        <w:spacing w:after="0" w:line="240" w:lineRule="auto"/>
        <w:ind w:left="1134" w:right="851"/>
        <w:jc w:val="both"/>
        <w:rPr>
          <w:rFonts w:ascii="Palatino Linotype" w:hAnsi="Palatino Linotype" w:cs="Arial"/>
          <w:i/>
          <w:sz w:val="20"/>
          <w:szCs w:val="20"/>
          <w:lang w:eastAsia="es-MX"/>
        </w:rPr>
      </w:pPr>
      <w:r w:rsidRPr="002C7102">
        <w:rPr>
          <w:rFonts w:ascii="Palatino Linotype" w:hAnsi="Palatino Linotype" w:cs="Arial"/>
          <w:b/>
          <w:bCs/>
          <w:i/>
          <w:sz w:val="20"/>
          <w:szCs w:val="20"/>
          <w:lang w:eastAsia="es-MX"/>
        </w:rPr>
        <w:t>“Criterio 6-09</w:t>
      </w:r>
    </w:p>
    <w:p w:rsidR="003E2DA1" w:rsidRPr="002C7102" w:rsidRDefault="003E2DA1" w:rsidP="003E2DA1">
      <w:pPr>
        <w:autoSpaceDE w:val="0"/>
        <w:autoSpaceDN w:val="0"/>
        <w:adjustRightInd w:val="0"/>
        <w:spacing w:after="0" w:line="240" w:lineRule="auto"/>
        <w:ind w:left="1134" w:right="851"/>
        <w:jc w:val="both"/>
        <w:rPr>
          <w:rFonts w:ascii="Palatino Linotype" w:hAnsi="Palatino Linotype" w:cs="Arial"/>
          <w:i/>
          <w:sz w:val="20"/>
          <w:szCs w:val="20"/>
          <w:lang w:eastAsia="es-MX"/>
        </w:rPr>
      </w:pPr>
      <w:r w:rsidRPr="002C7102">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2C7102">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2C7102">
        <w:rPr>
          <w:rFonts w:ascii="Palatino Linotype" w:hAnsi="Palatino Linotype" w:cs="Arial"/>
          <w:b/>
          <w:bCs/>
          <w:i/>
          <w:sz w:val="20"/>
          <w:szCs w:val="20"/>
          <w:u w:val="single"/>
          <w:lang w:eastAsia="es-MX"/>
        </w:rPr>
        <w:t xml:space="preserve">el nombre de los servidores públicos es información de naturaleza pública. No obstante lo anterior, el </w:t>
      </w:r>
      <w:r w:rsidRPr="002C7102">
        <w:rPr>
          <w:rFonts w:ascii="Palatino Linotype" w:hAnsi="Palatino Linotype" w:cs="Arial"/>
          <w:b/>
          <w:bCs/>
          <w:i/>
          <w:sz w:val="20"/>
          <w:szCs w:val="20"/>
          <w:u w:val="single"/>
          <w:lang w:eastAsia="es-MX"/>
        </w:rPr>
        <w:lastRenderedPageBreak/>
        <w:t>mismo precepto establece la posibilidad de que existan excepciones a las obligaciones ahí establecidas cuando la información actualice algunos de los supuestos de reserva o confidencialidad previstos en los artículos 13, 14 y 18 de la citada ley</w:t>
      </w:r>
      <w:r w:rsidRPr="002C7102">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2C7102">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2C7102">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2C7102">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2C7102">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2C7102">
        <w:rPr>
          <w:rFonts w:ascii="Palatino Linotype" w:hAnsi="Palatino Linotype" w:cs="Arial"/>
          <w:i/>
          <w:sz w:val="20"/>
          <w:szCs w:val="20"/>
          <w:lang w:eastAsia="es-MX"/>
        </w:rPr>
        <w:t>” (Sic)</w:t>
      </w:r>
    </w:p>
    <w:p w:rsidR="003E2DA1" w:rsidRPr="00D12EC2" w:rsidRDefault="003E2DA1" w:rsidP="003E2DA1">
      <w:pPr>
        <w:tabs>
          <w:tab w:val="left" w:pos="3583"/>
        </w:tabs>
        <w:autoSpaceDE w:val="0"/>
        <w:autoSpaceDN w:val="0"/>
        <w:adjustRightInd w:val="0"/>
        <w:spacing w:after="0" w:line="240" w:lineRule="auto"/>
        <w:ind w:left="1134" w:right="851"/>
        <w:jc w:val="both"/>
        <w:rPr>
          <w:rFonts w:ascii="Palatino Linotype" w:hAnsi="Palatino Linotype" w:cs="Arial"/>
          <w:i/>
          <w:sz w:val="20"/>
          <w:szCs w:val="20"/>
          <w:lang w:eastAsia="es-MX"/>
        </w:rPr>
      </w:pPr>
      <w:r w:rsidRPr="002C7102">
        <w:rPr>
          <w:rFonts w:ascii="Palatino Linotype" w:hAnsi="Palatino Linotype" w:cs="Arial"/>
          <w:i/>
          <w:sz w:val="20"/>
          <w:szCs w:val="20"/>
          <w:lang w:eastAsia="es-MX"/>
        </w:rPr>
        <w:t>Énfasis añadido.</w:t>
      </w:r>
      <w:r w:rsidRPr="00D12EC2">
        <w:rPr>
          <w:rFonts w:ascii="Palatino Linotype" w:hAnsi="Palatino Linotype" w:cs="Arial"/>
          <w:i/>
          <w:sz w:val="21"/>
          <w:szCs w:val="21"/>
          <w:lang w:eastAsia="es-MX"/>
        </w:rPr>
        <w:tab/>
      </w:r>
    </w:p>
    <w:p w:rsidR="003E2DA1" w:rsidRPr="00D12EC2" w:rsidRDefault="003E2DA1" w:rsidP="003E2DA1">
      <w:pPr>
        <w:autoSpaceDE w:val="0"/>
        <w:autoSpaceDN w:val="0"/>
        <w:adjustRightInd w:val="0"/>
        <w:ind w:left="1134" w:right="851"/>
        <w:jc w:val="both"/>
        <w:rPr>
          <w:rFonts w:ascii="Palatino Linotype" w:hAnsi="Palatino Linotype" w:cs="Arial"/>
          <w:i/>
          <w:sz w:val="23"/>
          <w:szCs w:val="23"/>
          <w:lang w:eastAsia="es-MX"/>
        </w:rPr>
      </w:pPr>
    </w:p>
    <w:p w:rsidR="00E4323F" w:rsidRDefault="00E4323F" w:rsidP="003E2DA1">
      <w:pPr>
        <w:spacing w:before="240" w:after="240" w:line="360" w:lineRule="auto"/>
        <w:jc w:val="both"/>
        <w:rPr>
          <w:rFonts w:ascii="Palatino Linotype" w:hAnsi="Palatino Linotype"/>
          <w:sz w:val="23"/>
          <w:szCs w:val="23"/>
          <w:lang w:eastAsia="es-MX"/>
        </w:rPr>
      </w:pPr>
      <w:r>
        <w:rPr>
          <w:rFonts w:ascii="Palatino Linotype" w:hAnsi="Palatino Linotype"/>
          <w:sz w:val="23"/>
          <w:szCs w:val="23"/>
        </w:rPr>
        <w:t xml:space="preserve">Sin embargo, debe tenerse en cuenta que tanto la Ley de Seguridad como el criterio orientador fueron emitidos de manera previa a la emisión de la Ley Protección de Datos Personales vigente en la Entidad, la cual </w:t>
      </w:r>
      <w:r w:rsidR="00777CCF">
        <w:rPr>
          <w:rFonts w:ascii="Palatino Linotype" w:hAnsi="Palatino Linotype"/>
          <w:sz w:val="23"/>
          <w:szCs w:val="23"/>
        </w:rPr>
        <w:t>fue pub</w:t>
      </w:r>
      <w:r>
        <w:rPr>
          <w:rFonts w:ascii="Palatino Linotype" w:hAnsi="Palatino Linotype"/>
          <w:sz w:val="23"/>
          <w:szCs w:val="23"/>
        </w:rPr>
        <w:t>l</w:t>
      </w:r>
      <w:r w:rsidR="00777CCF">
        <w:rPr>
          <w:rFonts w:ascii="Palatino Linotype" w:hAnsi="Palatino Linotype"/>
          <w:sz w:val="23"/>
          <w:szCs w:val="23"/>
        </w:rPr>
        <w:t>icada en el periódico oficial “G</w:t>
      </w:r>
      <w:r>
        <w:rPr>
          <w:rFonts w:ascii="Palatino Linotype" w:hAnsi="Palatino Linotype"/>
          <w:sz w:val="23"/>
          <w:szCs w:val="23"/>
        </w:rPr>
        <w:t xml:space="preserve">aceta de Gobierno” el treinta de mayo de dos mil diecisiete, surtiendo efectos al días siguiente, en </w:t>
      </w:r>
      <w:r w:rsidR="00777CCF">
        <w:rPr>
          <w:rFonts w:ascii="Palatino Linotype" w:hAnsi="Palatino Linotype"/>
          <w:sz w:val="23"/>
          <w:szCs w:val="23"/>
        </w:rPr>
        <w:t>donde</w:t>
      </w:r>
      <w:r>
        <w:rPr>
          <w:rFonts w:ascii="Palatino Linotype" w:hAnsi="Palatino Linotype"/>
          <w:sz w:val="23"/>
          <w:szCs w:val="23"/>
        </w:rPr>
        <w:t xml:space="preserve"> se incluyen los términos </w:t>
      </w:r>
      <w:r>
        <w:rPr>
          <w:rFonts w:ascii="Palatino Linotype" w:hAnsi="Palatino Linotype"/>
          <w:b/>
          <w:sz w:val="23"/>
          <w:szCs w:val="23"/>
        </w:rPr>
        <w:t>disociación, anonimizarían, seudonimizació</w:t>
      </w:r>
      <w:r w:rsidR="00ED58DB">
        <w:rPr>
          <w:rFonts w:ascii="Palatino Linotype" w:hAnsi="Palatino Linotype"/>
          <w:b/>
          <w:sz w:val="23"/>
          <w:szCs w:val="23"/>
        </w:rPr>
        <w:t xml:space="preserve">n y cifrado de datos personales, </w:t>
      </w:r>
      <w:r w:rsidR="00ED58DB" w:rsidRPr="00ED58DB">
        <w:rPr>
          <w:rFonts w:ascii="Palatino Linotype" w:hAnsi="Palatino Linotype"/>
          <w:sz w:val="23"/>
          <w:szCs w:val="23"/>
        </w:rPr>
        <w:t>que no son otra cosa que</w:t>
      </w:r>
      <w:r w:rsidR="00ED58DB">
        <w:rPr>
          <w:rFonts w:ascii="Palatino Linotype" w:hAnsi="Palatino Linotype"/>
          <w:b/>
          <w:sz w:val="23"/>
          <w:szCs w:val="23"/>
        </w:rPr>
        <w:t xml:space="preserve"> </w:t>
      </w:r>
      <w:r w:rsidR="00ED58DB" w:rsidRPr="00D12EC2">
        <w:rPr>
          <w:rFonts w:ascii="Palatino Linotype" w:hAnsi="Palatino Linotype"/>
          <w:sz w:val="23"/>
          <w:szCs w:val="23"/>
          <w:lang w:eastAsia="es-MX"/>
        </w:rPr>
        <w:t>medidas técnicas y administrativas</w:t>
      </w:r>
      <w:r w:rsidR="00ED58DB">
        <w:rPr>
          <w:rFonts w:ascii="Palatino Linotype" w:hAnsi="Palatino Linotype"/>
          <w:sz w:val="23"/>
          <w:szCs w:val="23"/>
          <w:lang w:eastAsia="es-MX"/>
        </w:rPr>
        <w:t xml:space="preserve"> que evitan la asociación del titular de los datos personales con ést</w:t>
      </w:r>
      <w:r w:rsidR="00777CCF">
        <w:rPr>
          <w:rFonts w:ascii="Palatino Linotype" w:hAnsi="Palatino Linotype"/>
          <w:sz w:val="23"/>
          <w:szCs w:val="23"/>
          <w:lang w:eastAsia="es-MX"/>
        </w:rPr>
        <w:t>os</w:t>
      </w:r>
      <w:r w:rsidR="00ED58DB">
        <w:rPr>
          <w:rFonts w:ascii="Palatino Linotype" w:hAnsi="Palatino Linotype"/>
          <w:sz w:val="23"/>
          <w:szCs w:val="23"/>
          <w:lang w:eastAsia="es-MX"/>
        </w:rPr>
        <w:t>, según se lee enseguida:</w:t>
      </w:r>
    </w:p>
    <w:p w:rsidR="00ED58DB" w:rsidRPr="00ED58DB" w:rsidRDefault="00ED58DB" w:rsidP="00ED58DB">
      <w:pPr>
        <w:spacing w:after="120" w:line="240" w:lineRule="auto"/>
        <w:ind w:left="851" w:right="992"/>
        <w:jc w:val="both"/>
        <w:rPr>
          <w:rFonts w:ascii="Palatino Linotype" w:hAnsi="Palatino Linotype"/>
          <w:i/>
          <w:sz w:val="20"/>
          <w:szCs w:val="20"/>
        </w:rPr>
      </w:pPr>
      <w:r>
        <w:rPr>
          <w:rFonts w:ascii="Palatino Linotype" w:hAnsi="Palatino Linotype"/>
          <w:b/>
          <w:i/>
          <w:sz w:val="20"/>
          <w:szCs w:val="20"/>
        </w:rPr>
        <w:t>“</w:t>
      </w:r>
      <w:r w:rsidRPr="00ED58DB">
        <w:rPr>
          <w:rFonts w:ascii="Palatino Linotype" w:hAnsi="Palatino Linotype"/>
          <w:b/>
          <w:i/>
          <w:sz w:val="20"/>
          <w:szCs w:val="20"/>
        </w:rPr>
        <w:t>Artículo 4.</w:t>
      </w:r>
      <w:r w:rsidRPr="00ED58DB">
        <w:rPr>
          <w:rFonts w:ascii="Palatino Linotype" w:hAnsi="Palatino Linotype"/>
          <w:i/>
          <w:sz w:val="20"/>
          <w:szCs w:val="20"/>
        </w:rPr>
        <w:t xml:space="preserve"> Para los efectos de esta Ley se entenderá por:</w:t>
      </w:r>
      <w:bookmarkStart w:id="0" w:name="_GoBack"/>
      <w:bookmarkEnd w:id="0"/>
    </w:p>
    <w:p w:rsidR="00ED58DB" w:rsidRDefault="00ED58DB" w:rsidP="00ED58DB">
      <w:pPr>
        <w:spacing w:after="120" w:line="240" w:lineRule="auto"/>
        <w:ind w:left="1134" w:right="992"/>
        <w:jc w:val="both"/>
        <w:rPr>
          <w:rFonts w:ascii="Palatino Linotype" w:hAnsi="Palatino Linotype"/>
          <w:i/>
          <w:sz w:val="20"/>
          <w:szCs w:val="20"/>
        </w:rPr>
      </w:pPr>
      <w:r>
        <w:rPr>
          <w:rFonts w:ascii="Palatino Linotype" w:hAnsi="Palatino Linotype"/>
          <w:i/>
          <w:sz w:val="20"/>
          <w:szCs w:val="20"/>
        </w:rPr>
        <w:t>(…)</w:t>
      </w:r>
    </w:p>
    <w:p w:rsidR="00ED58DB" w:rsidRPr="00ED58DB" w:rsidRDefault="00ED58DB" w:rsidP="00ED58DB">
      <w:pPr>
        <w:spacing w:after="120" w:line="240" w:lineRule="auto"/>
        <w:ind w:left="1134" w:right="992"/>
        <w:jc w:val="both"/>
        <w:rPr>
          <w:rFonts w:ascii="Palatino Linotype" w:hAnsi="Palatino Linotype"/>
          <w:i/>
          <w:sz w:val="20"/>
          <w:szCs w:val="20"/>
        </w:rPr>
      </w:pPr>
      <w:r w:rsidRPr="00ED58DB">
        <w:rPr>
          <w:rFonts w:ascii="Palatino Linotype" w:hAnsi="Palatino Linotype"/>
          <w:i/>
          <w:sz w:val="20"/>
          <w:szCs w:val="20"/>
        </w:rPr>
        <w:t>II. Anonimización: al tratamiento que permite evitar la identificación de la o el titular a través de sus datos personales.</w:t>
      </w:r>
    </w:p>
    <w:p w:rsidR="00ED58DB" w:rsidRDefault="00ED58DB" w:rsidP="00ED58DB">
      <w:pPr>
        <w:spacing w:after="120" w:line="240" w:lineRule="auto"/>
        <w:ind w:left="1134" w:right="992"/>
        <w:jc w:val="both"/>
        <w:rPr>
          <w:rFonts w:ascii="Palatino Linotype" w:hAnsi="Palatino Linotype"/>
          <w:i/>
          <w:sz w:val="20"/>
          <w:szCs w:val="20"/>
        </w:rPr>
      </w:pPr>
      <w:r>
        <w:rPr>
          <w:rFonts w:ascii="Palatino Linotype" w:hAnsi="Palatino Linotype"/>
          <w:i/>
          <w:sz w:val="20"/>
          <w:szCs w:val="20"/>
        </w:rPr>
        <w:lastRenderedPageBreak/>
        <w:t>(…)</w:t>
      </w:r>
    </w:p>
    <w:p w:rsidR="00ED58DB" w:rsidRPr="00ED58DB" w:rsidRDefault="00ED58DB" w:rsidP="00ED58DB">
      <w:pPr>
        <w:spacing w:after="120" w:line="240" w:lineRule="auto"/>
        <w:ind w:left="1134" w:right="992"/>
        <w:jc w:val="both"/>
        <w:rPr>
          <w:rFonts w:ascii="Palatino Linotype" w:hAnsi="Palatino Linotype"/>
          <w:i/>
          <w:sz w:val="20"/>
          <w:szCs w:val="20"/>
        </w:rPr>
      </w:pPr>
      <w:r w:rsidRPr="00ED58DB">
        <w:rPr>
          <w:rFonts w:ascii="Palatino Linotype" w:hAnsi="Palatino Linotype"/>
          <w:i/>
          <w:sz w:val="20"/>
          <w:szCs w:val="20"/>
        </w:rPr>
        <w:t>XVI. Disociación: al procedimiento por el que los datos personales no pueden asociarse a la o el titular, ni permitir por su estructura, contenido o grado de desagregación, la identificación individual del mismo.</w:t>
      </w:r>
    </w:p>
    <w:p w:rsidR="00ED58DB" w:rsidRDefault="00ED58DB" w:rsidP="00ED58DB">
      <w:pPr>
        <w:spacing w:after="120" w:line="240" w:lineRule="auto"/>
        <w:ind w:left="1134" w:right="992"/>
        <w:jc w:val="both"/>
        <w:rPr>
          <w:rFonts w:ascii="Palatino Linotype" w:hAnsi="Palatino Linotype"/>
          <w:i/>
          <w:sz w:val="20"/>
          <w:szCs w:val="20"/>
        </w:rPr>
      </w:pPr>
      <w:r w:rsidRPr="00ED58DB">
        <w:rPr>
          <w:rFonts w:ascii="Palatino Linotype" w:hAnsi="Palatino Linotype"/>
          <w:i/>
          <w:sz w:val="20"/>
          <w:szCs w:val="20"/>
        </w:rPr>
        <w:t>XLII. Seudonimización: al tratamiento de datos personales que no puedan atribuirse a un titular sin utilizar información adicional, cuando la información adicional figure por separado sujeta a medidas técnicas y organizativas destinadas a garantizar que los datos personales no se atribuyan a una persona física identificada o identificable</w:t>
      </w:r>
      <w:r>
        <w:rPr>
          <w:rFonts w:ascii="Palatino Linotype" w:hAnsi="Palatino Linotype"/>
          <w:i/>
          <w:sz w:val="20"/>
          <w:szCs w:val="20"/>
        </w:rPr>
        <w:t>.</w:t>
      </w:r>
    </w:p>
    <w:p w:rsidR="00ED58DB" w:rsidRDefault="00ED58DB" w:rsidP="00ED58DB">
      <w:pPr>
        <w:spacing w:after="120" w:line="240" w:lineRule="auto"/>
        <w:ind w:left="1134" w:right="992"/>
        <w:jc w:val="both"/>
        <w:rPr>
          <w:rFonts w:ascii="Palatino Linotype" w:hAnsi="Palatino Linotype"/>
          <w:i/>
          <w:sz w:val="20"/>
          <w:szCs w:val="20"/>
        </w:rPr>
      </w:pPr>
      <w:r>
        <w:rPr>
          <w:rFonts w:ascii="Palatino Linotype" w:hAnsi="Palatino Linotype"/>
          <w:i/>
          <w:sz w:val="20"/>
          <w:szCs w:val="20"/>
        </w:rPr>
        <w:t>(…)</w:t>
      </w:r>
    </w:p>
    <w:p w:rsidR="00ED58DB" w:rsidRPr="00ED58DB" w:rsidRDefault="00ED58DB" w:rsidP="00ED58DB">
      <w:pPr>
        <w:spacing w:after="120" w:line="240" w:lineRule="auto"/>
        <w:ind w:left="1134" w:right="992"/>
        <w:jc w:val="both"/>
        <w:rPr>
          <w:rFonts w:ascii="Palatino Linotype" w:hAnsi="Palatino Linotype"/>
          <w:i/>
          <w:sz w:val="20"/>
          <w:szCs w:val="20"/>
        </w:rPr>
      </w:pPr>
      <w:r w:rsidRPr="00ED58DB">
        <w:rPr>
          <w:rFonts w:ascii="Palatino Linotype" w:hAnsi="Palatino Linotype"/>
          <w:i/>
          <w:sz w:val="20"/>
          <w:szCs w:val="20"/>
        </w:rPr>
        <w:t>L.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Pr>
          <w:rFonts w:ascii="Palatino Linotype" w:hAnsi="Palatino Linotype"/>
          <w:i/>
          <w:sz w:val="20"/>
          <w:szCs w:val="20"/>
        </w:rPr>
        <w:t>…</w:t>
      </w:r>
    </w:p>
    <w:p w:rsidR="00ED58DB" w:rsidRPr="00ED58DB" w:rsidRDefault="00ED58DB" w:rsidP="00ED58DB">
      <w:pPr>
        <w:spacing w:after="120" w:line="240" w:lineRule="auto"/>
        <w:ind w:left="851" w:right="992"/>
        <w:jc w:val="both"/>
        <w:rPr>
          <w:rFonts w:ascii="Palatino Linotype" w:hAnsi="Palatino Linotype"/>
          <w:i/>
          <w:sz w:val="20"/>
          <w:szCs w:val="20"/>
        </w:rPr>
      </w:pPr>
      <w:r w:rsidRPr="00ED58DB">
        <w:rPr>
          <w:rFonts w:ascii="Palatino Linotype" w:hAnsi="Palatino Linotype"/>
          <w:b/>
          <w:i/>
          <w:sz w:val="20"/>
          <w:szCs w:val="20"/>
        </w:rPr>
        <w:t>Artículo 44.</w:t>
      </w:r>
      <w:r w:rsidRPr="00ED58DB">
        <w:rPr>
          <w:rFonts w:ascii="Palatino Linotype" w:hAnsi="Palatino Linotype"/>
          <w:i/>
          <w:sz w:val="20"/>
          <w:szCs w:val="20"/>
        </w:rPr>
        <w:t xml:space="preserve"> El responsable adoptará las medidas de seguridad, conforme a lo siguiente:</w:t>
      </w:r>
    </w:p>
    <w:p w:rsidR="00ED58DB" w:rsidRDefault="00ED58DB" w:rsidP="00ED58DB">
      <w:pPr>
        <w:spacing w:after="120" w:line="240" w:lineRule="auto"/>
        <w:ind w:left="1134" w:right="992"/>
        <w:jc w:val="both"/>
        <w:rPr>
          <w:rFonts w:ascii="Palatino Linotype" w:hAnsi="Palatino Linotype"/>
          <w:i/>
          <w:sz w:val="20"/>
          <w:szCs w:val="20"/>
        </w:rPr>
      </w:pPr>
      <w:r>
        <w:rPr>
          <w:rFonts w:ascii="Palatino Linotype" w:hAnsi="Palatino Linotype"/>
          <w:i/>
          <w:sz w:val="20"/>
          <w:szCs w:val="20"/>
        </w:rPr>
        <w:t>(…)</w:t>
      </w:r>
    </w:p>
    <w:p w:rsidR="00ED58DB" w:rsidRPr="00ED58DB" w:rsidRDefault="00ED58DB" w:rsidP="00ED58DB">
      <w:pPr>
        <w:spacing w:after="120" w:line="240" w:lineRule="auto"/>
        <w:ind w:left="1134" w:right="992"/>
        <w:jc w:val="both"/>
        <w:rPr>
          <w:rFonts w:ascii="Palatino Linotype" w:hAnsi="Palatino Linotype"/>
          <w:i/>
          <w:sz w:val="20"/>
          <w:szCs w:val="20"/>
        </w:rPr>
      </w:pPr>
      <w:r w:rsidRPr="00ED58DB">
        <w:rPr>
          <w:rFonts w:ascii="Palatino Linotype" w:hAnsi="Palatino Linotype"/>
          <w:i/>
          <w:sz w:val="20"/>
          <w:szCs w:val="20"/>
        </w:rPr>
        <w:t>IV. De cifrado: a la implementación de algoritmos, claves, contraseñas, así como dispositivos concretos de protección que garanticen la seguridad de la información</w:t>
      </w:r>
      <w:r>
        <w:rPr>
          <w:rFonts w:ascii="Palatino Linotype" w:hAnsi="Palatino Linotype"/>
          <w:i/>
          <w:sz w:val="20"/>
          <w:szCs w:val="20"/>
        </w:rPr>
        <w:t>…</w:t>
      </w:r>
    </w:p>
    <w:p w:rsidR="00ED58DB" w:rsidRPr="00ED58DB" w:rsidRDefault="00ED58DB" w:rsidP="00ED58DB">
      <w:pPr>
        <w:spacing w:after="120" w:line="240" w:lineRule="auto"/>
        <w:ind w:left="851" w:right="992"/>
        <w:jc w:val="both"/>
        <w:rPr>
          <w:rFonts w:ascii="Palatino Linotype" w:hAnsi="Palatino Linotype"/>
          <w:i/>
          <w:sz w:val="20"/>
          <w:szCs w:val="20"/>
        </w:rPr>
      </w:pPr>
      <w:r w:rsidRPr="00ED58DB">
        <w:rPr>
          <w:rFonts w:ascii="Palatino Linotype" w:hAnsi="Palatino Linotype"/>
          <w:b/>
          <w:i/>
          <w:sz w:val="20"/>
          <w:szCs w:val="20"/>
        </w:rPr>
        <w:t>Artículo 21.</w:t>
      </w:r>
      <w:r w:rsidRPr="00ED58DB">
        <w:rPr>
          <w:rFonts w:ascii="Palatino Linotype" w:hAnsi="Palatino Linotype"/>
          <w:i/>
          <w:sz w:val="20"/>
          <w:szCs w:val="20"/>
        </w:rPr>
        <w:t xml:space="preserve"> El responsable no estará obligado a recabar el consentimiento de la o el titular para el tratamiento de sus datos personales en los casos siguientes:</w:t>
      </w:r>
    </w:p>
    <w:p w:rsidR="00ED58DB" w:rsidRDefault="00ED58DB" w:rsidP="00ED58DB">
      <w:pPr>
        <w:spacing w:after="120" w:line="240" w:lineRule="auto"/>
        <w:ind w:left="1134" w:right="992"/>
        <w:jc w:val="both"/>
        <w:rPr>
          <w:rFonts w:ascii="Palatino Linotype" w:hAnsi="Palatino Linotype"/>
          <w:i/>
          <w:sz w:val="20"/>
          <w:szCs w:val="20"/>
        </w:rPr>
      </w:pPr>
      <w:r>
        <w:rPr>
          <w:rFonts w:ascii="Palatino Linotype" w:hAnsi="Palatino Linotype"/>
          <w:i/>
          <w:sz w:val="20"/>
          <w:szCs w:val="20"/>
        </w:rPr>
        <w:t>(…)</w:t>
      </w:r>
    </w:p>
    <w:p w:rsidR="00ED58DB" w:rsidRPr="00ED58DB" w:rsidRDefault="00ED58DB" w:rsidP="00ED58DB">
      <w:pPr>
        <w:spacing w:after="120" w:line="240" w:lineRule="auto"/>
        <w:ind w:left="1134" w:right="992"/>
        <w:jc w:val="both"/>
        <w:rPr>
          <w:rFonts w:ascii="Palatino Linotype" w:hAnsi="Palatino Linotype"/>
          <w:i/>
          <w:sz w:val="20"/>
          <w:szCs w:val="20"/>
        </w:rPr>
      </w:pPr>
      <w:r w:rsidRPr="00ED58DB">
        <w:rPr>
          <w:rFonts w:ascii="Palatino Linotype" w:hAnsi="Palatino Linotype"/>
          <w:i/>
          <w:sz w:val="20"/>
          <w:szCs w:val="20"/>
        </w:rPr>
        <w:t>IX. Los datos personales se sometan de manera previa a procedimientos de anonimización, disociación o seudonimización, tendientes a evitar la asociación de los datos personales con su titular</w:t>
      </w:r>
      <w:r>
        <w:rPr>
          <w:rFonts w:ascii="Palatino Linotype" w:hAnsi="Palatino Linotype"/>
          <w:i/>
          <w:sz w:val="20"/>
          <w:szCs w:val="20"/>
        </w:rPr>
        <w:t>….</w:t>
      </w:r>
    </w:p>
    <w:p w:rsidR="00ED58DB" w:rsidRPr="00ED58DB" w:rsidRDefault="00ED58DB" w:rsidP="00ED58DB">
      <w:pPr>
        <w:spacing w:after="120" w:line="240" w:lineRule="auto"/>
        <w:ind w:left="851" w:right="992"/>
        <w:jc w:val="both"/>
        <w:rPr>
          <w:rFonts w:ascii="Palatino Linotype" w:hAnsi="Palatino Linotype"/>
          <w:i/>
          <w:sz w:val="20"/>
          <w:szCs w:val="20"/>
        </w:rPr>
      </w:pPr>
      <w:r w:rsidRPr="00ED58DB">
        <w:rPr>
          <w:rFonts w:ascii="Palatino Linotype" w:hAnsi="Palatino Linotype"/>
          <w:b/>
          <w:i/>
          <w:sz w:val="20"/>
          <w:szCs w:val="20"/>
        </w:rPr>
        <w:t>Artículo 39.</w:t>
      </w:r>
      <w:r w:rsidRPr="00ED58DB">
        <w:rPr>
          <w:rFonts w:ascii="Palatino Linotype" w:hAnsi="Palatino Linotype"/>
          <w:i/>
          <w:sz w:val="20"/>
          <w:szCs w:val="20"/>
        </w:rPr>
        <w:t xml:space="preserve"> En el tratamiento aplicarán medidas técnicas y administrativas apropiadas, así como observar deberes para garantizar un nivel de seguridad adecuado al riesgo, tales como:</w:t>
      </w:r>
    </w:p>
    <w:p w:rsidR="00ED58DB" w:rsidRDefault="00ED58DB" w:rsidP="00ED58DB">
      <w:pPr>
        <w:spacing w:after="120" w:line="240" w:lineRule="auto"/>
        <w:ind w:left="1134" w:right="992"/>
        <w:jc w:val="both"/>
        <w:rPr>
          <w:rFonts w:ascii="Palatino Linotype" w:hAnsi="Palatino Linotype"/>
          <w:i/>
          <w:sz w:val="20"/>
          <w:szCs w:val="20"/>
        </w:rPr>
      </w:pPr>
      <w:r>
        <w:rPr>
          <w:rFonts w:ascii="Palatino Linotype" w:hAnsi="Palatino Linotype"/>
          <w:i/>
          <w:sz w:val="20"/>
          <w:szCs w:val="20"/>
        </w:rPr>
        <w:t>(</w:t>
      </w:r>
      <w:r>
        <w:rPr>
          <w:rFonts w:ascii="Palatino Linotype" w:hAnsi="Palatino Linotype"/>
          <w:b/>
          <w:i/>
          <w:sz w:val="20"/>
          <w:szCs w:val="20"/>
        </w:rPr>
        <w:t>…</w:t>
      </w:r>
      <w:r>
        <w:rPr>
          <w:rFonts w:ascii="Palatino Linotype" w:hAnsi="Palatino Linotype"/>
          <w:i/>
          <w:sz w:val="20"/>
          <w:szCs w:val="20"/>
        </w:rPr>
        <w:t>)</w:t>
      </w:r>
    </w:p>
    <w:p w:rsidR="00ED58DB" w:rsidRPr="00ED58DB" w:rsidRDefault="00ED58DB" w:rsidP="00ED58DB">
      <w:pPr>
        <w:spacing w:after="120" w:line="240" w:lineRule="auto"/>
        <w:ind w:left="1134" w:right="992"/>
        <w:jc w:val="both"/>
        <w:rPr>
          <w:rFonts w:ascii="Palatino Linotype" w:hAnsi="Palatino Linotype"/>
          <w:i/>
          <w:sz w:val="20"/>
          <w:szCs w:val="20"/>
          <w:lang w:eastAsia="es-MX"/>
        </w:rPr>
      </w:pPr>
      <w:r w:rsidRPr="00ED58DB">
        <w:rPr>
          <w:rFonts w:ascii="Palatino Linotype" w:hAnsi="Palatino Linotype"/>
          <w:i/>
          <w:sz w:val="20"/>
          <w:szCs w:val="20"/>
        </w:rPr>
        <w:t>II. La disociación, anonimización y el cifrado de datos personales</w:t>
      </w:r>
      <w:r>
        <w:rPr>
          <w:rFonts w:ascii="Palatino Linotype" w:hAnsi="Palatino Linotype"/>
          <w:i/>
          <w:sz w:val="20"/>
          <w:szCs w:val="20"/>
        </w:rPr>
        <w:t>…”</w:t>
      </w:r>
    </w:p>
    <w:p w:rsidR="00ED58DB" w:rsidRPr="00E4323F" w:rsidRDefault="00ED58DB" w:rsidP="003E2DA1">
      <w:pPr>
        <w:spacing w:before="240" w:after="240" w:line="360" w:lineRule="auto"/>
        <w:jc w:val="both"/>
        <w:rPr>
          <w:rFonts w:ascii="Palatino Linotype" w:hAnsi="Palatino Linotype"/>
          <w:b/>
          <w:sz w:val="23"/>
          <w:szCs w:val="23"/>
        </w:rPr>
      </w:pPr>
    </w:p>
    <w:p w:rsidR="008A421C" w:rsidRDefault="002C5D65" w:rsidP="003E2DA1">
      <w:pPr>
        <w:spacing w:before="240" w:after="240" w:line="360" w:lineRule="auto"/>
        <w:jc w:val="both"/>
        <w:rPr>
          <w:rFonts w:ascii="Palatino Linotype" w:hAnsi="Palatino Linotype"/>
          <w:sz w:val="23"/>
          <w:szCs w:val="23"/>
        </w:rPr>
      </w:pPr>
      <w:r>
        <w:rPr>
          <w:rFonts w:ascii="Palatino Linotype" w:hAnsi="Palatino Linotype"/>
          <w:sz w:val="23"/>
          <w:szCs w:val="23"/>
        </w:rPr>
        <w:lastRenderedPageBreak/>
        <w:t>Así,</w:t>
      </w:r>
      <w:r w:rsidR="009C2258">
        <w:rPr>
          <w:rFonts w:ascii="Palatino Linotype" w:hAnsi="Palatino Linotype"/>
          <w:sz w:val="23"/>
          <w:szCs w:val="23"/>
        </w:rPr>
        <w:t xml:space="preserve"> en términos de los preceptos legales en cita, desde mi punto de vista la técnica de disociación responde a un tratamiento de datos personales</w:t>
      </w:r>
      <w:r w:rsidR="008A421C">
        <w:rPr>
          <w:rFonts w:ascii="Palatino Linotype" w:hAnsi="Palatino Linotype"/>
          <w:sz w:val="23"/>
          <w:szCs w:val="23"/>
        </w:rPr>
        <w:t xml:space="preserve"> efectuada mediante </w:t>
      </w:r>
      <w:r w:rsidR="009C2258">
        <w:rPr>
          <w:rFonts w:ascii="Palatino Linotype" w:hAnsi="Palatino Linotype"/>
          <w:sz w:val="23"/>
          <w:szCs w:val="23"/>
        </w:rPr>
        <w:t>procedimientos manuales o automatizados</w:t>
      </w:r>
      <w:r w:rsidR="008A421C">
        <w:rPr>
          <w:rFonts w:ascii="Palatino Linotype" w:hAnsi="Palatino Linotype"/>
          <w:sz w:val="23"/>
          <w:szCs w:val="23"/>
        </w:rPr>
        <w:t>,</w:t>
      </w:r>
      <w:r w:rsidR="009C2258">
        <w:rPr>
          <w:rFonts w:ascii="Palatino Linotype" w:hAnsi="Palatino Linotype"/>
          <w:sz w:val="23"/>
          <w:szCs w:val="23"/>
        </w:rPr>
        <w:t xml:space="preserve"> </w:t>
      </w:r>
      <w:r>
        <w:rPr>
          <w:rFonts w:ascii="Palatino Linotype" w:hAnsi="Palatino Linotype"/>
          <w:sz w:val="23"/>
          <w:szCs w:val="23"/>
        </w:rPr>
        <w:t xml:space="preserve"> </w:t>
      </w:r>
      <w:r w:rsidR="008A421C">
        <w:rPr>
          <w:rFonts w:ascii="Palatino Linotype" w:hAnsi="Palatino Linotype"/>
          <w:sz w:val="23"/>
          <w:szCs w:val="23"/>
        </w:rPr>
        <w:t xml:space="preserve">y no, a la clasificación de información  </w:t>
      </w:r>
    </w:p>
    <w:p w:rsidR="008A421C" w:rsidRDefault="008A421C" w:rsidP="003E2DA1">
      <w:pPr>
        <w:spacing w:before="240" w:after="240" w:line="360" w:lineRule="auto"/>
        <w:jc w:val="both"/>
        <w:rPr>
          <w:rFonts w:ascii="Palatino Linotype" w:hAnsi="Palatino Linotype"/>
          <w:sz w:val="24"/>
          <w:szCs w:val="24"/>
        </w:rPr>
      </w:pPr>
      <w:r>
        <w:rPr>
          <w:rFonts w:ascii="Palatino Linotype" w:hAnsi="Palatino Linotype"/>
          <w:sz w:val="23"/>
          <w:szCs w:val="23"/>
        </w:rPr>
        <w:t xml:space="preserve">Toda vez, que en términos del numeral Noveno de los </w:t>
      </w:r>
      <w:r w:rsidRPr="008A421C">
        <w:rPr>
          <w:rFonts w:ascii="Palatino Linotype" w:hAnsi="Palatino Linotype"/>
          <w:i/>
          <w:sz w:val="24"/>
          <w:szCs w:val="24"/>
        </w:rPr>
        <w:t>Lineamientos Generales en Materia de Clasificación y Desclasificación de la Información, así como para la Elaboración de Versiones Públicas</w:t>
      </w:r>
      <w:r>
        <w:rPr>
          <w:rFonts w:ascii="Palatino Linotype" w:hAnsi="Palatino Linotype"/>
          <w:sz w:val="23"/>
          <w:szCs w:val="23"/>
        </w:rPr>
        <w:t xml:space="preserve">, en los </w:t>
      </w:r>
      <w:r w:rsidRPr="008A421C">
        <w:rPr>
          <w:rFonts w:ascii="Palatino Linotype" w:hAnsi="Palatino Linotype"/>
          <w:sz w:val="24"/>
          <w:szCs w:val="24"/>
        </w:rPr>
        <w:t xml:space="preserve">casos en que se solicite un documento o expediente que contenga partes o secciones clasificadas, los titulares de las áreas deberán elaborar una versión pública fundando y motivando la clasificación de las partes o secciones </w:t>
      </w:r>
      <w:r w:rsidRPr="008A421C">
        <w:rPr>
          <w:rFonts w:ascii="Palatino Linotype" w:hAnsi="Palatino Linotype"/>
          <w:b/>
          <w:sz w:val="24"/>
          <w:szCs w:val="24"/>
        </w:rPr>
        <w:t>que se testen</w:t>
      </w:r>
      <w:r w:rsidRPr="008A421C">
        <w:rPr>
          <w:rFonts w:ascii="Palatino Linotype" w:hAnsi="Palatino Linotype"/>
          <w:sz w:val="24"/>
          <w:szCs w:val="24"/>
        </w:rPr>
        <w:t>, siguiendo los procedimientos</w:t>
      </w:r>
      <w:r>
        <w:rPr>
          <w:rFonts w:ascii="Palatino Linotype" w:hAnsi="Palatino Linotype"/>
          <w:sz w:val="24"/>
          <w:szCs w:val="24"/>
        </w:rPr>
        <w:t xml:space="preserve"> establecidos en el Capítulo IX.</w:t>
      </w:r>
    </w:p>
    <w:p w:rsidR="008A421C" w:rsidRDefault="008A421C" w:rsidP="003E2DA1">
      <w:pPr>
        <w:spacing w:before="240" w:after="240" w:line="360" w:lineRule="auto"/>
        <w:jc w:val="both"/>
        <w:rPr>
          <w:rFonts w:ascii="Palatino Linotype" w:hAnsi="Palatino Linotype"/>
          <w:sz w:val="24"/>
          <w:szCs w:val="24"/>
        </w:rPr>
      </w:pPr>
      <w:r>
        <w:rPr>
          <w:rFonts w:ascii="Palatino Linotype" w:hAnsi="Palatino Linotype"/>
          <w:sz w:val="24"/>
          <w:szCs w:val="24"/>
        </w:rPr>
        <w:t>Que a saber, dispone lo siguiente:</w:t>
      </w:r>
    </w:p>
    <w:p w:rsidR="00F353C2" w:rsidRPr="00F353C2" w:rsidRDefault="00F353C2" w:rsidP="00F353C2">
      <w:pPr>
        <w:spacing w:after="120" w:line="240" w:lineRule="auto"/>
        <w:ind w:left="851" w:right="992"/>
        <w:jc w:val="both"/>
        <w:rPr>
          <w:rFonts w:ascii="Palatino Linotype" w:hAnsi="Palatino Linotype"/>
          <w:i/>
          <w:sz w:val="20"/>
          <w:szCs w:val="20"/>
        </w:rPr>
      </w:pPr>
      <w:r>
        <w:rPr>
          <w:rFonts w:ascii="Palatino Linotype" w:hAnsi="Palatino Linotype"/>
          <w:b/>
          <w:i/>
          <w:sz w:val="20"/>
          <w:szCs w:val="20"/>
        </w:rPr>
        <w:t>“</w:t>
      </w:r>
      <w:r w:rsidRPr="00F353C2">
        <w:rPr>
          <w:rFonts w:ascii="Palatino Linotype" w:hAnsi="Palatino Linotype"/>
          <w:b/>
          <w:i/>
          <w:sz w:val="20"/>
          <w:szCs w:val="20"/>
        </w:rPr>
        <w:t>Quincuagésimo noveno.</w:t>
      </w:r>
      <w:r w:rsidRPr="00F353C2">
        <w:rPr>
          <w:rFonts w:ascii="Palatino Linotype" w:hAnsi="Palatino Linotype"/>
          <w:i/>
          <w:sz w:val="20"/>
          <w:szCs w:val="20"/>
        </w:rPr>
        <w:t xml:space="preserve"> En caso de que el documento únicamente se posea versión impresa, deberá fotocopiarse y sobre éste </w:t>
      </w:r>
      <w:r w:rsidRPr="00F353C2">
        <w:rPr>
          <w:rFonts w:ascii="Palatino Linotype" w:hAnsi="Palatino Linotype"/>
          <w:b/>
          <w:i/>
          <w:sz w:val="20"/>
          <w:szCs w:val="20"/>
          <w:u w:val="single"/>
        </w:rPr>
        <w:t>deberán testarse</w:t>
      </w:r>
      <w:r w:rsidRPr="00F353C2">
        <w:rPr>
          <w:rFonts w:ascii="Palatino Linotype" w:hAnsi="Palatino Linotype"/>
          <w:i/>
          <w:sz w:val="20"/>
          <w:szCs w:val="20"/>
        </w:rPr>
        <w:t xml:space="preserv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r>
        <w:rPr>
          <w:rFonts w:ascii="Palatino Linotype" w:hAnsi="Palatino Linotype"/>
          <w:i/>
          <w:sz w:val="20"/>
          <w:szCs w:val="20"/>
        </w:rPr>
        <w:t>…</w:t>
      </w:r>
    </w:p>
    <w:p w:rsidR="00F353C2" w:rsidRPr="00F353C2" w:rsidRDefault="00F353C2" w:rsidP="00F353C2">
      <w:pPr>
        <w:spacing w:after="120" w:line="240" w:lineRule="auto"/>
        <w:ind w:left="851" w:right="992"/>
        <w:jc w:val="both"/>
        <w:rPr>
          <w:rFonts w:ascii="Palatino Linotype" w:hAnsi="Palatino Linotype"/>
          <w:i/>
          <w:sz w:val="20"/>
          <w:szCs w:val="20"/>
        </w:rPr>
      </w:pPr>
      <w:r w:rsidRPr="00F353C2">
        <w:rPr>
          <w:rFonts w:ascii="Palatino Linotype" w:hAnsi="Palatino Linotype"/>
          <w:b/>
          <w:i/>
          <w:sz w:val="20"/>
          <w:szCs w:val="20"/>
        </w:rPr>
        <w:t>Sexagésimo.</w:t>
      </w:r>
      <w:r w:rsidRPr="00F353C2">
        <w:rPr>
          <w:rFonts w:ascii="Palatino Linotype" w:hAnsi="Palatino Linotype"/>
          <w:i/>
          <w:sz w:val="20"/>
          <w:szCs w:val="20"/>
        </w:rPr>
        <w:t xml:space="preserve"> En caso de que el documento se posea en formato electrónico, deberá crearse un nuevo archivo electrónico para que sobre el mismo se elabore la versión pública, </w:t>
      </w:r>
      <w:r w:rsidRPr="00F353C2">
        <w:rPr>
          <w:rFonts w:ascii="Palatino Linotype" w:hAnsi="Palatino Linotype"/>
          <w:b/>
          <w:i/>
          <w:sz w:val="20"/>
          <w:szCs w:val="20"/>
          <w:u w:val="single"/>
        </w:rPr>
        <w:t>eliminando las partes o secciones clasificadas</w:t>
      </w:r>
      <w:r w:rsidRPr="00F353C2">
        <w:rPr>
          <w:rFonts w:ascii="Palatino Linotype" w:hAnsi="Palatino Linotype"/>
          <w:i/>
          <w:sz w:val="20"/>
          <w:szCs w:val="20"/>
        </w:rPr>
        <w:t>, de acuerdo con el modelo para testar documentos electrónicos contenido en el Anexo 2 de los Lineamientos, "Modelos para testar documentos electrónicos".</w:t>
      </w:r>
      <w:r>
        <w:rPr>
          <w:rFonts w:ascii="Palatino Linotype" w:hAnsi="Palatino Linotype"/>
          <w:i/>
          <w:sz w:val="20"/>
          <w:szCs w:val="20"/>
        </w:rPr>
        <w:t>”</w:t>
      </w:r>
    </w:p>
    <w:p w:rsidR="00F353C2" w:rsidRDefault="00F353C2" w:rsidP="003E2DA1">
      <w:pPr>
        <w:spacing w:before="240" w:after="240" w:line="360" w:lineRule="auto"/>
        <w:jc w:val="both"/>
        <w:rPr>
          <w:rFonts w:ascii="Palatino Linotype" w:hAnsi="Palatino Linotype"/>
          <w:i/>
          <w:sz w:val="24"/>
          <w:szCs w:val="24"/>
        </w:rPr>
      </w:pPr>
      <w:r>
        <w:rPr>
          <w:rFonts w:ascii="Palatino Linotype" w:hAnsi="Palatino Linotype"/>
          <w:sz w:val="23"/>
          <w:szCs w:val="23"/>
        </w:rPr>
        <w:t xml:space="preserve">Derivado de lo anterior, cabe decir que en términos de la fracción XVII del numeral segundo de los Lineamientos de referencia, la acción </w:t>
      </w:r>
      <w:r>
        <w:rPr>
          <w:rFonts w:ascii="Palatino Linotype" w:hAnsi="Palatino Linotype"/>
          <w:b/>
          <w:sz w:val="23"/>
          <w:szCs w:val="23"/>
        </w:rPr>
        <w:t xml:space="preserve">testar, </w:t>
      </w:r>
      <w:r>
        <w:rPr>
          <w:rFonts w:ascii="Palatino Linotype" w:hAnsi="Palatino Linotype"/>
          <w:sz w:val="23"/>
          <w:szCs w:val="23"/>
        </w:rPr>
        <w:t xml:space="preserve">corresponde a </w:t>
      </w:r>
      <w:r w:rsidRPr="00F353C2">
        <w:rPr>
          <w:rFonts w:ascii="Palatino Linotype" w:hAnsi="Palatino Linotype"/>
          <w:i/>
          <w:sz w:val="24"/>
          <w:szCs w:val="24"/>
        </w:rPr>
        <w:t xml:space="preserve">la omisión o </w:t>
      </w:r>
      <w:r w:rsidRPr="00F353C2">
        <w:rPr>
          <w:rFonts w:ascii="Palatino Linotype" w:hAnsi="Palatino Linotype"/>
          <w:i/>
          <w:sz w:val="24"/>
          <w:szCs w:val="24"/>
        </w:rPr>
        <w:lastRenderedPageBreak/>
        <w:t>supresión de la información clasificada como reservada o confidencial, empleando sistemas o medios que impidan la recuperación o visualización de ésta</w:t>
      </w:r>
      <w:r>
        <w:rPr>
          <w:rFonts w:ascii="Palatino Linotype" w:hAnsi="Palatino Linotype"/>
          <w:i/>
          <w:sz w:val="24"/>
          <w:szCs w:val="24"/>
        </w:rPr>
        <w:t>.</w:t>
      </w:r>
    </w:p>
    <w:p w:rsidR="00F353C2" w:rsidRDefault="00F353C2" w:rsidP="003E2DA1">
      <w:pPr>
        <w:spacing w:before="240" w:after="240" w:line="360" w:lineRule="auto"/>
        <w:jc w:val="both"/>
        <w:rPr>
          <w:rFonts w:ascii="Palatino Linotype" w:hAnsi="Palatino Linotype"/>
          <w:sz w:val="24"/>
          <w:szCs w:val="24"/>
        </w:rPr>
      </w:pPr>
      <w:r>
        <w:rPr>
          <w:rFonts w:ascii="Palatino Linotype" w:hAnsi="Palatino Linotype"/>
          <w:sz w:val="24"/>
          <w:szCs w:val="24"/>
        </w:rPr>
        <w:t>Por lo que se concluye, que cuando se ordena testar la información se atiende a un proceso de clasificación de la información y no al tratamiento de datos personales mediante la técnica de disociación.</w:t>
      </w:r>
    </w:p>
    <w:p w:rsidR="00F353C2" w:rsidRPr="00D12EC2" w:rsidRDefault="00F353C2" w:rsidP="00F353C2">
      <w:pPr>
        <w:spacing w:before="100" w:beforeAutospacing="1" w:after="100" w:afterAutospacing="1" w:line="360" w:lineRule="auto"/>
        <w:ind w:right="49"/>
        <w:jc w:val="both"/>
        <w:rPr>
          <w:rFonts w:ascii="Palatino Linotype" w:hAnsi="Palatino Linotype"/>
          <w:sz w:val="23"/>
          <w:szCs w:val="23"/>
          <w:lang w:eastAsia="es-MX"/>
        </w:rPr>
      </w:pPr>
      <w:r>
        <w:rPr>
          <w:rFonts w:ascii="Palatino Linotype" w:hAnsi="Palatino Linotype"/>
          <w:sz w:val="24"/>
          <w:szCs w:val="24"/>
        </w:rPr>
        <w:t xml:space="preserve">Sin soslayar, que en el tratamiento de los datos personales de los miembros de cuerpos de seguridad pública, también se puede utilizar las </w:t>
      </w:r>
      <w:r w:rsidRPr="00D12EC2">
        <w:rPr>
          <w:rFonts w:ascii="Palatino Linotype" w:hAnsi="Palatino Linotype"/>
          <w:sz w:val="23"/>
          <w:szCs w:val="23"/>
          <w:lang w:eastAsia="es-MX"/>
        </w:rPr>
        <w:t>med</w:t>
      </w:r>
      <w:r>
        <w:rPr>
          <w:rFonts w:ascii="Palatino Linotype" w:hAnsi="Palatino Linotype"/>
          <w:sz w:val="23"/>
          <w:szCs w:val="23"/>
          <w:lang w:eastAsia="es-MX"/>
        </w:rPr>
        <w:t xml:space="preserve">idas técnicas y administrativas, </w:t>
      </w:r>
      <w:r w:rsidRPr="00D12EC2">
        <w:rPr>
          <w:rFonts w:ascii="Palatino Linotype" w:hAnsi="Palatino Linotype"/>
          <w:sz w:val="23"/>
          <w:szCs w:val="23"/>
          <w:lang w:eastAsia="es-MX"/>
        </w:rPr>
        <w:t xml:space="preserve">tales como la anonimización, seudonimización o el cifrado de datos personales, tendientes a evitar la asociación de los datos personales con su titular, </w:t>
      </w:r>
      <w:r w:rsidR="00744BB8">
        <w:rPr>
          <w:rFonts w:ascii="Palatino Linotype" w:hAnsi="Palatino Linotype"/>
          <w:sz w:val="23"/>
          <w:szCs w:val="23"/>
          <w:lang w:eastAsia="es-MX"/>
        </w:rPr>
        <w:t>sobre este punto en particular.</w:t>
      </w:r>
    </w:p>
    <w:p w:rsidR="00F353C2" w:rsidRDefault="00F353C2" w:rsidP="00F353C2">
      <w:pPr>
        <w:shd w:val="clear" w:color="auto" w:fill="FFFFFF"/>
        <w:spacing w:after="240" w:line="360" w:lineRule="auto"/>
        <w:jc w:val="both"/>
        <w:rPr>
          <w:rFonts w:ascii="Palatino Linotype" w:hAnsi="Palatino Linotype"/>
          <w:color w:val="222222"/>
          <w:sz w:val="23"/>
          <w:szCs w:val="23"/>
          <w:lang w:eastAsia="es-MX"/>
        </w:rPr>
      </w:pPr>
      <w:r w:rsidRPr="00D12EC2">
        <w:rPr>
          <w:rFonts w:ascii="Palatino Linotype" w:hAnsi="Palatino Linotype"/>
          <w:sz w:val="23"/>
          <w:szCs w:val="23"/>
          <w:lang w:eastAsia="es-MX"/>
        </w:rPr>
        <w:t xml:space="preserve">Al respecto, es preciso mencionar que </w:t>
      </w:r>
      <w:r w:rsidRPr="00D12EC2">
        <w:rPr>
          <w:rFonts w:ascii="Palatino Linotype" w:hAnsi="Palatino Linotype"/>
          <w:color w:val="222222"/>
          <w:sz w:val="23"/>
          <w:szCs w:val="23"/>
          <w:lang w:eastAsia="es-MX"/>
        </w:rPr>
        <w:t xml:space="preserve">la </w:t>
      </w:r>
      <w:r>
        <w:rPr>
          <w:rFonts w:ascii="Palatino Linotype" w:hAnsi="Palatino Linotype"/>
          <w:color w:val="222222"/>
          <w:sz w:val="23"/>
          <w:szCs w:val="23"/>
          <w:lang w:eastAsia="es-MX"/>
        </w:rPr>
        <w:t>seudonimización</w:t>
      </w:r>
      <w:r w:rsidRPr="00D12EC2">
        <w:rPr>
          <w:rFonts w:ascii="Palatino Linotype" w:hAnsi="Palatino Linotype"/>
          <w:color w:val="222222"/>
          <w:sz w:val="23"/>
          <w:szCs w:val="23"/>
          <w:lang w:eastAsia="es-MX"/>
        </w:rPr>
        <w:t xml:space="preserve"> es el proceso que </w:t>
      </w:r>
      <w:r>
        <w:rPr>
          <w:rFonts w:ascii="Palatino Linotype" w:hAnsi="Palatino Linotype"/>
          <w:color w:val="222222"/>
          <w:sz w:val="23"/>
          <w:szCs w:val="23"/>
          <w:lang w:eastAsia="es-MX"/>
        </w:rPr>
        <w:t>impide puedan atribuirse los datos personales a su titular, cuando no se utilice información adicional, porque esta figura por separado sujeta a medidas técnicas y organizativas destinadas a garantizar que los datos personales no se atribuyan a una persona física identificada o identificable.</w:t>
      </w:r>
    </w:p>
    <w:p w:rsidR="00F353C2" w:rsidRPr="00744BB8" w:rsidRDefault="00744BB8" w:rsidP="00744BB8">
      <w:pPr>
        <w:spacing w:before="240" w:after="240" w:line="360" w:lineRule="auto"/>
        <w:jc w:val="both"/>
        <w:rPr>
          <w:rFonts w:ascii="Palatino Linotype" w:hAnsi="Palatino Linotype"/>
          <w:sz w:val="24"/>
          <w:szCs w:val="24"/>
        </w:rPr>
      </w:pPr>
      <w:r w:rsidRPr="00744BB8">
        <w:rPr>
          <w:rFonts w:ascii="Palatino Linotype" w:hAnsi="Palatino Linotype"/>
          <w:sz w:val="24"/>
          <w:szCs w:val="24"/>
        </w:rPr>
        <w:t>Medidas de seguridad</w:t>
      </w:r>
      <w:r>
        <w:rPr>
          <w:rFonts w:ascii="Palatino Linotype" w:hAnsi="Palatino Linotype"/>
          <w:sz w:val="24"/>
          <w:szCs w:val="24"/>
        </w:rPr>
        <w:t xml:space="preserve"> que</w:t>
      </w:r>
      <w:r w:rsidRPr="00744BB8">
        <w:rPr>
          <w:rFonts w:ascii="Palatino Linotype" w:hAnsi="Palatino Linotype"/>
          <w:sz w:val="24"/>
          <w:szCs w:val="24"/>
        </w:rPr>
        <w:t xml:space="preserve"> en el tratamiento de datos personales garantizan el ejercicio del derecho de acceso a la información, </w:t>
      </w:r>
      <w:r>
        <w:rPr>
          <w:rFonts w:ascii="Palatino Linotype" w:hAnsi="Palatino Linotype"/>
          <w:sz w:val="24"/>
          <w:szCs w:val="24"/>
        </w:rPr>
        <w:t xml:space="preserve">y salvaguardan la integridad de los cuerpos de seguridad pública, al </w:t>
      </w:r>
      <w:r w:rsidRPr="00744BB8">
        <w:rPr>
          <w:rFonts w:ascii="Palatino Linotype" w:hAnsi="Palatino Linotype"/>
          <w:sz w:val="24"/>
          <w:szCs w:val="24"/>
        </w:rPr>
        <w:t>implementa</w:t>
      </w:r>
      <w:r>
        <w:rPr>
          <w:rFonts w:ascii="Palatino Linotype" w:hAnsi="Palatino Linotype"/>
          <w:sz w:val="24"/>
          <w:szCs w:val="24"/>
        </w:rPr>
        <w:t>rse en todo caso, algoritmos y</w:t>
      </w:r>
      <w:r w:rsidRPr="00744BB8">
        <w:rPr>
          <w:rFonts w:ascii="Palatino Linotype" w:hAnsi="Palatino Linotype"/>
          <w:sz w:val="24"/>
          <w:szCs w:val="24"/>
        </w:rPr>
        <w:t xml:space="preserve"> clave</w:t>
      </w:r>
      <w:r>
        <w:rPr>
          <w:rFonts w:ascii="Palatino Linotype" w:hAnsi="Palatino Linotype"/>
          <w:sz w:val="24"/>
          <w:szCs w:val="24"/>
        </w:rPr>
        <w:t>s en los nombres de éstos, sin que se determine la clasificación de la información.</w:t>
      </w:r>
    </w:p>
    <w:p w:rsidR="00F353C2" w:rsidRDefault="00F353C2" w:rsidP="003E2DA1">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 </w:t>
      </w:r>
    </w:p>
    <w:p w:rsidR="003E2DA1" w:rsidRDefault="003E2DA1" w:rsidP="003E2DA1">
      <w:pPr>
        <w:spacing w:before="240" w:after="0" w:line="360" w:lineRule="auto"/>
        <w:jc w:val="both"/>
        <w:rPr>
          <w:rFonts w:ascii="Palatino Linotype" w:hAnsi="Palatino Linotype" w:cs="Arial"/>
          <w:sz w:val="23"/>
          <w:szCs w:val="23"/>
        </w:rPr>
      </w:pPr>
      <w:r w:rsidRPr="00D12EC2">
        <w:rPr>
          <w:rFonts w:ascii="Palatino Linotype" w:hAnsi="Palatino Linotype" w:cs="Arial"/>
          <w:sz w:val="23"/>
          <w:szCs w:val="23"/>
        </w:rPr>
        <w:t>Por todo lo expuesto es que formul</w:t>
      </w:r>
      <w:r w:rsidR="001B44EA">
        <w:rPr>
          <w:rFonts w:ascii="Palatino Linotype" w:hAnsi="Palatino Linotype" w:cs="Arial"/>
          <w:sz w:val="23"/>
          <w:szCs w:val="23"/>
        </w:rPr>
        <w:t>o</w:t>
      </w:r>
      <w:r w:rsidRPr="00D12EC2">
        <w:rPr>
          <w:rFonts w:ascii="Palatino Linotype" w:hAnsi="Palatino Linotype" w:cs="Arial"/>
          <w:sz w:val="23"/>
          <w:szCs w:val="23"/>
        </w:rPr>
        <w:t xml:space="preserve"> </w:t>
      </w:r>
      <w:r w:rsidR="001B44EA">
        <w:rPr>
          <w:rFonts w:ascii="Palatino Linotype" w:hAnsi="Palatino Linotype" w:cs="Arial"/>
          <w:sz w:val="23"/>
          <w:szCs w:val="23"/>
        </w:rPr>
        <w:t>e</w:t>
      </w:r>
      <w:r w:rsidRPr="00D12EC2">
        <w:rPr>
          <w:rFonts w:ascii="Palatino Linotype" w:hAnsi="Palatino Linotype" w:cs="Arial"/>
          <w:sz w:val="23"/>
          <w:szCs w:val="23"/>
        </w:rPr>
        <w:t xml:space="preserve">l presente </w:t>
      </w:r>
      <w:r w:rsidR="00F71624">
        <w:rPr>
          <w:rFonts w:ascii="Palatino Linotype" w:hAnsi="Palatino Linotype" w:cs="Arial"/>
          <w:sz w:val="23"/>
          <w:szCs w:val="23"/>
        </w:rPr>
        <w:t xml:space="preserve">voto </w:t>
      </w:r>
      <w:r w:rsidRPr="00D12EC2">
        <w:rPr>
          <w:rFonts w:ascii="Palatino Linotype" w:hAnsi="Palatino Linotype" w:cs="Arial"/>
          <w:sz w:val="23"/>
          <w:szCs w:val="23"/>
        </w:rPr>
        <w:t xml:space="preserve">particular, en los términos precisados. </w:t>
      </w:r>
    </w:p>
    <w:p w:rsidR="00AB4071" w:rsidRDefault="00AB4071" w:rsidP="003E2DA1">
      <w:pPr>
        <w:spacing w:before="240" w:after="0" w:line="360" w:lineRule="auto"/>
        <w:jc w:val="both"/>
        <w:rPr>
          <w:rFonts w:ascii="Palatino Linotype" w:hAnsi="Palatino Linotype" w:cs="Arial"/>
          <w:sz w:val="23"/>
          <w:szCs w:val="23"/>
        </w:rPr>
      </w:pPr>
    </w:p>
    <w:p w:rsidR="00AB4071" w:rsidRPr="00D12EC2" w:rsidRDefault="00AB4071" w:rsidP="003E2DA1">
      <w:pPr>
        <w:spacing w:before="240" w:after="0" w:line="360" w:lineRule="auto"/>
        <w:jc w:val="both"/>
        <w:rPr>
          <w:rFonts w:ascii="Palatino Linotype" w:hAnsi="Palatino Linotype" w:cs="Arial"/>
          <w:sz w:val="23"/>
          <w:szCs w:val="23"/>
        </w:rPr>
      </w:pPr>
    </w:p>
    <w:p w:rsidR="003E2DA1" w:rsidRDefault="003E2DA1" w:rsidP="003E2DA1"/>
    <w:p w:rsidR="00F71624" w:rsidRDefault="00F71624" w:rsidP="003E2DA1"/>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CA1567" w:rsidTr="00AE74B0">
        <w:tc>
          <w:tcPr>
            <w:tcW w:w="8918" w:type="dxa"/>
          </w:tcPr>
          <w:p w:rsidR="00CA1567" w:rsidRDefault="00CA1567" w:rsidP="00AB4071">
            <w:pPr>
              <w:jc w:val="center"/>
              <w:rPr>
                <w:rFonts w:ascii="Palatino Linotype" w:hAnsi="Palatino Linotype" w:cs="Arial"/>
                <w:b/>
                <w:sz w:val="23"/>
                <w:szCs w:val="23"/>
              </w:rPr>
            </w:pPr>
            <w:r w:rsidRPr="00D12EC2">
              <w:rPr>
                <w:rFonts w:ascii="Palatino Linotype" w:hAnsi="Palatino Linotype" w:cs="Arial"/>
                <w:b/>
                <w:sz w:val="23"/>
                <w:szCs w:val="23"/>
              </w:rPr>
              <w:t>Javier Martínez Cruz</w:t>
            </w:r>
          </w:p>
          <w:p w:rsidR="00CA1567" w:rsidRDefault="00CA1567" w:rsidP="00AB4071">
            <w:pPr>
              <w:jc w:val="center"/>
              <w:rPr>
                <w:rFonts w:ascii="Palatino Linotype" w:hAnsi="Palatino Linotype" w:cs="Arial"/>
                <w:b/>
                <w:sz w:val="23"/>
                <w:szCs w:val="23"/>
              </w:rPr>
            </w:pPr>
            <w:r w:rsidRPr="00D12EC2">
              <w:rPr>
                <w:rFonts w:ascii="Palatino Linotype" w:hAnsi="Palatino Linotype" w:cs="Arial"/>
                <w:sz w:val="23"/>
                <w:szCs w:val="23"/>
              </w:rPr>
              <w:t>Comisionado</w:t>
            </w:r>
          </w:p>
          <w:p w:rsidR="00CA1567" w:rsidRDefault="00CA1567" w:rsidP="00AB4071">
            <w:pPr>
              <w:jc w:val="center"/>
              <w:rPr>
                <w:rFonts w:ascii="Palatino Linotype" w:hAnsi="Palatino Linotype" w:cs="Arial"/>
                <w:sz w:val="23"/>
                <w:szCs w:val="23"/>
              </w:rPr>
            </w:pPr>
            <w:r>
              <w:rPr>
                <w:rFonts w:ascii="Palatino Linotype" w:hAnsi="Palatino Linotype" w:cs="Arial"/>
                <w:sz w:val="23"/>
                <w:szCs w:val="23"/>
              </w:rPr>
              <w:t>(Rúbrica)</w:t>
            </w:r>
          </w:p>
          <w:p w:rsidR="00CA1567" w:rsidRDefault="00CA1567" w:rsidP="00CA1567">
            <w:pPr>
              <w:jc w:val="center"/>
            </w:pPr>
          </w:p>
        </w:tc>
      </w:tr>
      <w:tr w:rsidR="00AB4071" w:rsidTr="00F71624">
        <w:tc>
          <w:tcPr>
            <w:tcW w:w="8918" w:type="dxa"/>
          </w:tcPr>
          <w:p w:rsidR="00AB4071" w:rsidRDefault="00AB4071" w:rsidP="00AB4071">
            <w:pPr>
              <w:jc w:val="center"/>
              <w:rPr>
                <w:rFonts w:ascii="Palatino Linotype" w:hAnsi="Palatino Linotype" w:cs="Arial"/>
                <w:b/>
                <w:sz w:val="23"/>
                <w:szCs w:val="23"/>
              </w:rPr>
            </w:pPr>
          </w:p>
          <w:p w:rsidR="00AB4071" w:rsidRDefault="00AB4071" w:rsidP="00AB4071">
            <w:pPr>
              <w:jc w:val="center"/>
              <w:rPr>
                <w:rFonts w:ascii="Palatino Linotype" w:hAnsi="Palatino Linotype" w:cs="Arial"/>
                <w:b/>
                <w:sz w:val="23"/>
                <w:szCs w:val="23"/>
              </w:rPr>
            </w:pPr>
          </w:p>
          <w:p w:rsidR="00F71624" w:rsidRDefault="00F71624" w:rsidP="00AB4071">
            <w:pPr>
              <w:jc w:val="center"/>
              <w:rPr>
                <w:rFonts w:ascii="Palatino Linotype" w:hAnsi="Palatino Linotype" w:cs="Arial"/>
                <w:b/>
                <w:sz w:val="23"/>
                <w:szCs w:val="23"/>
              </w:rPr>
            </w:pPr>
          </w:p>
          <w:p w:rsidR="00F71624" w:rsidRDefault="00F71624" w:rsidP="00AB4071">
            <w:pPr>
              <w:jc w:val="center"/>
              <w:rPr>
                <w:rFonts w:ascii="Palatino Linotype" w:hAnsi="Palatino Linotype" w:cs="Arial"/>
                <w:b/>
                <w:sz w:val="23"/>
                <w:szCs w:val="23"/>
              </w:rPr>
            </w:pPr>
          </w:p>
          <w:p w:rsidR="00F71624" w:rsidRDefault="00F71624" w:rsidP="00AB4071">
            <w:pPr>
              <w:jc w:val="center"/>
              <w:rPr>
                <w:rFonts w:ascii="Palatino Linotype" w:hAnsi="Palatino Linotype" w:cs="Arial"/>
                <w:b/>
                <w:sz w:val="23"/>
                <w:szCs w:val="23"/>
              </w:rPr>
            </w:pPr>
          </w:p>
          <w:p w:rsidR="00AB4071" w:rsidRDefault="00AB4071" w:rsidP="00AB4071">
            <w:pPr>
              <w:jc w:val="center"/>
              <w:rPr>
                <w:rFonts w:ascii="Palatino Linotype" w:hAnsi="Palatino Linotype" w:cs="Arial"/>
                <w:b/>
                <w:sz w:val="23"/>
                <w:szCs w:val="23"/>
              </w:rPr>
            </w:pPr>
          </w:p>
          <w:p w:rsidR="00AB4071" w:rsidRDefault="00AB4071" w:rsidP="00AB4071">
            <w:pPr>
              <w:jc w:val="center"/>
            </w:pPr>
          </w:p>
        </w:tc>
      </w:tr>
    </w:tbl>
    <w:p w:rsidR="00AB4071" w:rsidRPr="00D12EC2" w:rsidRDefault="00AB4071" w:rsidP="00AB4071"/>
    <w:sectPr w:rsidR="00AB4071" w:rsidRPr="00D12EC2" w:rsidSect="00115CE3">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05F" w:rsidRDefault="00B3705F" w:rsidP="003E2DA1">
      <w:pPr>
        <w:spacing w:after="0" w:line="240" w:lineRule="auto"/>
      </w:pPr>
      <w:r>
        <w:separator/>
      </w:r>
    </w:p>
  </w:endnote>
  <w:endnote w:type="continuationSeparator" w:id="0">
    <w:p w:rsidR="00B3705F" w:rsidRDefault="00B3705F" w:rsidP="003E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C9706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77CCF">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77CCF">
      <w:rPr>
        <w:rFonts w:ascii="Arial" w:hAnsi="Arial" w:cs="Arial"/>
        <w:b/>
        <w:bCs/>
        <w:noProof/>
        <w:sz w:val="20"/>
        <w:szCs w:val="20"/>
      </w:rPr>
      <w:t>9</w:t>
    </w:r>
    <w:r w:rsidRPr="00986599">
      <w:rPr>
        <w:rFonts w:ascii="Arial" w:hAnsi="Arial" w:cs="Arial"/>
        <w:b/>
        <w:bCs/>
        <w:sz w:val="20"/>
        <w:szCs w:val="20"/>
      </w:rPr>
      <w:fldChar w:fldCharType="end"/>
    </w:r>
  </w:p>
  <w:p w:rsidR="00D758BE" w:rsidRDefault="00B3705F"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05F" w:rsidRDefault="00B3705F" w:rsidP="003E2DA1">
      <w:pPr>
        <w:spacing w:after="0" w:line="240" w:lineRule="auto"/>
      </w:pPr>
      <w:r>
        <w:separator/>
      </w:r>
    </w:p>
  </w:footnote>
  <w:footnote w:type="continuationSeparator" w:id="0">
    <w:p w:rsidR="00B3705F" w:rsidRDefault="00B3705F" w:rsidP="003E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C9706F">
    <w:pPr>
      <w:pStyle w:val="Encabezado"/>
    </w:pPr>
    <w:r>
      <w:rPr>
        <w:noProof/>
        <w:lang w:val="es-MX" w:eastAsia="es-MX"/>
      </w:rPr>
      <mc:AlternateContent>
        <mc:Choice Requires="wps">
          <w:drawing>
            <wp:anchor distT="0" distB="0" distL="114300" distR="114300" simplePos="0" relativeHeight="251659264" behindDoc="1" locked="0" layoutInCell="0" allowOverlap="1" wp14:anchorId="680B21C1" wp14:editId="0E1AD19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0B21C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9706F"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5E66318" wp14:editId="62746B21">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B3705F" w:rsidP="007263BB">
    <w:pPr>
      <w:pStyle w:val="Encabezado"/>
      <w:jc w:val="right"/>
      <w:rPr>
        <w:rFonts w:ascii="Arial" w:hAnsi="Arial" w:cs="Arial"/>
        <w:sz w:val="20"/>
        <w:szCs w:val="20"/>
      </w:rPr>
    </w:pPr>
  </w:p>
  <w:p w:rsidR="00D758BE" w:rsidRDefault="00B3705F" w:rsidP="007263BB">
    <w:pPr>
      <w:pStyle w:val="Encabezado"/>
      <w:jc w:val="right"/>
      <w:rPr>
        <w:rFonts w:ascii="Arial" w:hAnsi="Arial" w:cs="Arial"/>
        <w:sz w:val="20"/>
        <w:szCs w:val="20"/>
      </w:rPr>
    </w:pPr>
  </w:p>
  <w:p w:rsidR="00706042" w:rsidRPr="00563D0F" w:rsidRDefault="00320D92"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C9706F">
      <w:rPr>
        <w:rFonts w:ascii="Palatino Linotype" w:hAnsi="Palatino Linotype" w:cs="Arial"/>
        <w:b/>
        <w:sz w:val="20"/>
        <w:szCs w:val="20"/>
      </w:rPr>
      <w:t xml:space="preserve"> PARTICULAR </w:t>
    </w:r>
  </w:p>
  <w:p w:rsidR="00EE5FB0" w:rsidRPr="00563D0F" w:rsidRDefault="00C9706F"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DB46A9">
      <w:rPr>
        <w:rFonts w:ascii="Palatino Linotype" w:hAnsi="Palatino Linotype" w:cs="Arial"/>
        <w:b/>
        <w:sz w:val="20"/>
        <w:szCs w:val="20"/>
      </w:rPr>
      <w:t>2517</w:t>
    </w:r>
    <w:r>
      <w:rPr>
        <w:rFonts w:ascii="Palatino Linotype" w:hAnsi="Palatino Linotype" w:cs="Arial"/>
        <w:b/>
        <w:sz w:val="20"/>
        <w:szCs w:val="20"/>
      </w:rPr>
      <w:t>/INFOEM/IP/RR/201</w:t>
    </w:r>
    <w:r w:rsidR="00320D92">
      <w:rPr>
        <w:rFonts w:ascii="Palatino Linotype" w:hAnsi="Palatino Linotype" w:cs="Arial"/>
        <w:b/>
        <w:sz w:val="20"/>
        <w:szCs w:val="20"/>
      </w:rPr>
      <w:t>9</w:t>
    </w:r>
  </w:p>
  <w:p w:rsidR="00D758BE" w:rsidRDefault="00B3705F" w:rsidP="007263BB">
    <w:pPr>
      <w:pStyle w:val="Encabezado"/>
      <w:jc w:val="right"/>
      <w:rPr>
        <w:rFonts w:ascii="Palatino Linotype" w:hAnsi="Palatino Linotype" w:cs="Arial"/>
        <w:sz w:val="20"/>
        <w:szCs w:val="20"/>
      </w:rPr>
    </w:pPr>
  </w:p>
  <w:p w:rsidR="00233AB2" w:rsidRDefault="00B3705F"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1"/>
    <w:rsid w:val="00014214"/>
    <w:rsid w:val="000346CF"/>
    <w:rsid w:val="000C14DA"/>
    <w:rsid w:val="000F4606"/>
    <w:rsid w:val="001263D7"/>
    <w:rsid w:val="00127698"/>
    <w:rsid w:val="00177FB6"/>
    <w:rsid w:val="001B44EA"/>
    <w:rsid w:val="001E4177"/>
    <w:rsid w:val="001E655D"/>
    <w:rsid w:val="002515A8"/>
    <w:rsid w:val="002A3ED0"/>
    <w:rsid w:val="002C5D65"/>
    <w:rsid w:val="002C7102"/>
    <w:rsid w:val="0030741A"/>
    <w:rsid w:val="00320D92"/>
    <w:rsid w:val="00381ADE"/>
    <w:rsid w:val="003B7323"/>
    <w:rsid w:val="003E2DA1"/>
    <w:rsid w:val="0046721B"/>
    <w:rsid w:val="00472456"/>
    <w:rsid w:val="004A2211"/>
    <w:rsid w:val="004E0039"/>
    <w:rsid w:val="00510D9E"/>
    <w:rsid w:val="00525289"/>
    <w:rsid w:val="005463EF"/>
    <w:rsid w:val="005943FF"/>
    <w:rsid w:val="005A1CCF"/>
    <w:rsid w:val="00644DDA"/>
    <w:rsid w:val="006C48F1"/>
    <w:rsid w:val="006E30CD"/>
    <w:rsid w:val="007169EC"/>
    <w:rsid w:val="00744BB8"/>
    <w:rsid w:val="00767A99"/>
    <w:rsid w:val="00777CCF"/>
    <w:rsid w:val="007859EE"/>
    <w:rsid w:val="007E7E8E"/>
    <w:rsid w:val="0082307A"/>
    <w:rsid w:val="008447C4"/>
    <w:rsid w:val="0085031D"/>
    <w:rsid w:val="00884682"/>
    <w:rsid w:val="008935CD"/>
    <w:rsid w:val="008A421C"/>
    <w:rsid w:val="008E77F3"/>
    <w:rsid w:val="00937D9A"/>
    <w:rsid w:val="00941C6F"/>
    <w:rsid w:val="009808C5"/>
    <w:rsid w:val="00981499"/>
    <w:rsid w:val="0099040A"/>
    <w:rsid w:val="009A43D5"/>
    <w:rsid w:val="009B624B"/>
    <w:rsid w:val="009C2258"/>
    <w:rsid w:val="009E2BFE"/>
    <w:rsid w:val="00A229D2"/>
    <w:rsid w:val="00A74E28"/>
    <w:rsid w:val="00A8492C"/>
    <w:rsid w:val="00AB4071"/>
    <w:rsid w:val="00B3705F"/>
    <w:rsid w:val="00B4736F"/>
    <w:rsid w:val="00B47983"/>
    <w:rsid w:val="00B56C7E"/>
    <w:rsid w:val="00BA30D7"/>
    <w:rsid w:val="00BF701C"/>
    <w:rsid w:val="00C314C4"/>
    <w:rsid w:val="00C96610"/>
    <w:rsid w:val="00C9706F"/>
    <w:rsid w:val="00CA1567"/>
    <w:rsid w:val="00CB7FF7"/>
    <w:rsid w:val="00D1734B"/>
    <w:rsid w:val="00D54DA1"/>
    <w:rsid w:val="00DB46A9"/>
    <w:rsid w:val="00DE02AB"/>
    <w:rsid w:val="00E4323F"/>
    <w:rsid w:val="00E91BE3"/>
    <w:rsid w:val="00ED58DB"/>
    <w:rsid w:val="00F00333"/>
    <w:rsid w:val="00F119C7"/>
    <w:rsid w:val="00F13CA5"/>
    <w:rsid w:val="00F353C2"/>
    <w:rsid w:val="00F71624"/>
    <w:rsid w:val="00F85CEF"/>
    <w:rsid w:val="00FA76A0"/>
    <w:rsid w:val="00FF15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CCF8-3EE7-4165-A5D9-053F0B3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A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2D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2DA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E2DA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E2DA1"/>
    <w:rPr>
      <w:b/>
      <w:bCs/>
    </w:rPr>
  </w:style>
  <w:style w:type="paragraph" w:styleId="Textodeglobo">
    <w:name w:val="Balloon Text"/>
    <w:basedOn w:val="Normal"/>
    <w:link w:val="TextodegloboCar"/>
    <w:uiPriority w:val="99"/>
    <w:semiHidden/>
    <w:unhideWhenUsed/>
    <w:rsid w:val="000F4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606"/>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29D2"/>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29D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9</Pages>
  <Words>2126</Words>
  <Characters>11695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48</cp:revision>
  <cp:lastPrinted>2019-05-14T22:40:00Z</cp:lastPrinted>
  <dcterms:created xsi:type="dcterms:W3CDTF">2018-12-14T18:22:00Z</dcterms:created>
  <dcterms:modified xsi:type="dcterms:W3CDTF">2019-06-17T22:11:00Z</dcterms:modified>
</cp:coreProperties>
</file>